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26" w:rsidRDefault="000C3226" w:rsidP="00B81DAB">
      <w:pPr>
        <w:autoSpaceDE w:val="0"/>
        <w:autoSpaceDN w:val="0"/>
        <w:adjustRightInd w:val="0"/>
        <w:spacing w:before="100" w:beforeAutospacing="1" w:after="100" w:afterAutospacing="1"/>
        <w:sectPr w:rsidR="000C3226" w:rsidSect="00CE2048">
          <w:headerReference w:type="even" r:id="rId11"/>
          <w:headerReference w:type="default" r:id="rId12"/>
          <w:footerReference w:type="default" r:id="rId13"/>
          <w:headerReference w:type="first" r:id="rId14"/>
          <w:footerReference w:type="first" r:id="rId15"/>
          <w:pgSz w:w="11906" w:h="16838" w:code="9"/>
          <w:pgMar w:top="238" w:right="238" w:bottom="244" w:left="238" w:header="0" w:footer="0" w:gutter="0"/>
          <w:pgNumType w:fmt="lowerRoman" w:start="1"/>
          <w:cols w:space="709"/>
          <w:titlePg/>
          <w:docGrid w:linePitch="360"/>
        </w:sectPr>
      </w:pPr>
    </w:p>
    <w:p w:rsidR="000E59B7" w:rsidRPr="00B2375C" w:rsidRDefault="000E59B7" w:rsidP="000532A5">
      <w:r w:rsidRPr="00B2375C">
        <w:lastRenderedPageBreak/>
        <w:t>This annual report provides information about the</w:t>
      </w:r>
      <w:r w:rsidR="00B2375C">
        <w:t xml:space="preserve"> </w:t>
      </w:r>
      <w:r w:rsidR="000532A5">
        <w:t>Office of the Inspector-General Emergency Management</w:t>
      </w:r>
      <w:r w:rsidR="00CE0504">
        <w:t xml:space="preserve"> financial and non</w:t>
      </w:r>
      <w:r w:rsidR="00CE0504">
        <w:noBreakHyphen/>
      </w:r>
      <w:r w:rsidRPr="00B2375C">
        <w:t>financial performance for</w:t>
      </w:r>
      <w:r w:rsidRPr="00B2375C">
        <w:rPr>
          <w:i/>
        </w:rPr>
        <w:t xml:space="preserve"> </w:t>
      </w:r>
      <w:r w:rsidRPr="00B2375C">
        <w:t xml:space="preserve">2015-16. It has been prepared in accordance with the </w:t>
      </w:r>
      <w:r w:rsidRPr="00B2375C">
        <w:rPr>
          <w:i/>
        </w:rPr>
        <w:t>Financial Accountability Act 2009</w:t>
      </w:r>
      <w:r w:rsidRPr="00B2375C">
        <w:t xml:space="preserve">, the </w:t>
      </w:r>
      <w:r w:rsidRPr="00B2375C">
        <w:rPr>
          <w:i/>
        </w:rPr>
        <w:t>Financial and Performance Management Standard 2009</w:t>
      </w:r>
      <w:r w:rsidRPr="00B2375C">
        <w:t xml:space="preserve"> and the </w:t>
      </w:r>
      <w:r w:rsidRPr="00B2375C">
        <w:rPr>
          <w:i/>
        </w:rPr>
        <w:t>Annual report requirements for Queensland Government agencies</w:t>
      </w:r>
      <w:r w:rsidRPr="00B2375C">
        <w:t>.</w:t>
      </w:r>
    </w:p>
    <w:p w:rsidR="000E59B7" w:rsidRPr="0086264D" w:rsidRDefault="000E59B7" w:rsidP="000E59B7">
      <w:pPr>
        <w:autoSpaceDE w:val="0"/>
        <w:autoSpaceDN w:val="0"/>
        <w:adjustRightInd w:val="0"/>
        <w:spacing w:before="0" w:after="0"/>
        <w:rPr>
          <w:b/>
          <w:bCs/>
        </w:rPr>
      </w:pPr>
      <w:r w:rsidRPr="0086264D">
        <w:rPr>
          <w:b/>
        </w:rPr>
        <w:t>Enquiries and further information</w:t>
      </w:r>
    </w:p>
    <w:p w:rsidR="00CD1DDD" w:rsidRPr="00183475" w:rsidRDefault="00CD1DDD" w:rsidP="00CD1DDD">
      <w:pPr>
        <w:spacing w:before="0" w:after="0"/>
        <w:rPr>
          <w:rStyle w:val="Hyperlink"/>
          <w:color w:val="AB054C"/>
          <w:szCs w:val="22"/>
        </w:rPr>
      </w:pPr>
      <w:r w:rsidRPr="00E9307B">
        <w:rPr>
          <w:szCs w:val="22"/>
        </w:rPr>
        <w:t>For enquiries or further information about this annual report, please contact the Office of the Inspector-</w:t>
      </w:r>
      <w:r w:rsidR="00824FA6" w:rsidRPr="00E9307B">
        <w:rPr>
          <w:szCs w:val="22"/>
        </w:rPr>
        <w:t xml:space="preserve">General Emergency Management </w:t>
      </w:r>
      <w:r w:rsidR="0050079D" w:rsidRPr="00E9307B">
        <w:rPr>
          <w:szCs w:val="22"/>
        </w:rPr>
        <w:t>t</w:t>
      </w:r>
      <w:r w:rsidR="00824FA6" w:rsidRPr="00E9307B">
        <w:rPr>
          <w:szCs w:val="22"/>
        </w:rPr>
        <w:t xml:space="preserve">elephone </w:t>
      </w:r>
      <w:r w:rsidR="00347C70">
        <w:rPr>
          <w:szCs w:val="22"/>
        </w:rPr>
        <w:t>n</w:t>
      </w:r>
      <w:r w:rsidR="00824FA6" w:rsidRPr="00E9307B">
        <w:rPr>
          <w:szCs w:val="22"/>
        </w:rPr>
        <w:t xml:space="preserve">o.: </w:t>
      </w:r>
      <w:r w:rsidR="0050079D" w:rsidRPr="00E9307B">
        <w:rPr>
          <w:szCs w:val="22"/>
        </w:rPr>
        <w:t>(07) 3227 6588, e</w:t>
      </w:r>
      <w:r w:rsidRPr="00E9307B">
        <w:rPr>
          <w:szCs w:val="22"/>
        </w:rPr>
        <w:t xml:space="preserve">mail </w:t>
      </w:r>
      <w:hyperlink r:id="rId16" w:history="1">
        <w:r w:rsidRPr="00E9307B">
          <w:rPr>
            <w:rStyle w:val="Hyperlink"/>
            <w:color w:val="AB054C"/>
            <w:szCs w:val="22"/>
          </w:rPr>
          <w:t>info@igem.qld.gov.au</w:t>
        </w:r>
      </w:hyperlink>
      <w:r w:rsidR="0050079D" w:rsidRPr="00E9307B">
        <w:rPr>
          <w:rStyle w:val="Hyperlink"/>
          <w:color w:val="AB054C"/>
          <w:szCs w:val="22"/>
        </w:rPr>
        <w:t xml:space="preserve"> </w:t>
      </w:r>
      <w:r w:rsidR="0050079D" w:rsidRPr="00E9307B">
        <w:rPr>
          <w:szCs w:val="22"/>
        </w:rPr>
        <w:t>or v</w:t>
      </w:r>
      <w:r w:rsidR="00824FA6" w:rsidRPr="00E9307B">
        <w:rPr>
          <w:szCs w:val="22"/>
        </w:rPr>
        <w:t>isit</w:t>
      </w:r>
      <w:r w:rsidR="00824FA6" w:rsidRPr="00E9307B">
        <w:rPr>
          <w:color w:val="AB054C"/>
          <w:szCs w:val="22"/>
        </w:rPr>
        <w:t xml:space="preserve"> </w:t>
      </w:r>
    </w:p>
    <w:p w:rsidR="00183475" w:rsidRPr="003A2DCF" w:rsidRDefault="003E64D5" w:rsidP="00CD1DDD">
      <w:pPr>
        <w:spacing w:before="0" w:after="0"/>
        <w:rPr>
          <w:rStyle w:val="Hyperlink"/>
          <w:color w:val="AB054C"/>
          <w:szCs w:val="22"/>
          <w:u w:val="none"/>
        </w:rPr>
      </w:pPr>
      <w:hyperlink r:id="rId17" w:history="1">
        <w:r w:rsidR="003A2DCF" w:rsidRPr="003A2DCF">
          <w:rPr>
            <w:rStyle w:val="Hyperlink"/>
            <w:color w:val="AB054C"/>
            <w:szCs w:val="22"/>
          </w:rPr>
          <w:t>www.igem.qld.gov.</w:t>
        </w:r>
        <w:r w:rsidR="003A2DCF" w:rsidRPr="003A2DCF">
          <w:rPr>
            <w:rStyle w:val="Hyperlink"/>
            <w:color w:val="AB054C"/>
            <w:szCs w:val="22"/>
          </w:rPr>
          <w:t>a</w:t>
        </w:r>
        <w:r w:rsidR="003A2DCF" w:rsidRPr="003A2DCF">
          <w:rPr>
            <w:rStyle w:val="Hyperlink"/>
            <w:color w:val="AB054C"/>
            <w:szCs w:val="22"/>
          </w:rPr>
          <w:t>u/Pages/default.aspx</w:t>
        </w:r>
      </w:hyperlink>
      <w:r w:rsidR="006266C6" w:rsidRPr="003A2DCF">
        <w:rPr>
          <w:rStyle w:val="Hyperlink"/>
          <w:color w:val="AB054C"/>
          <w:szCs w:val="22"/>
          <w:u w:val="none"/>
        </w:rPr>
        <w:t>.</w:t>
      </w:r>
    </w:p>
    <w:p w:rsidR="00443C9C" w:rsidRPr="006266C6" w:rsidRDefault="000E59B7" w:rsidP="00772F1A">
      <w:pPr>
        <w:spacing w:after="100" w:afterAutospacing="1"/>
      </w:pPr>
      <w:r w:rsidRPr="00B2375C">
        <w:t xml:space="preserve">This annual report can be obtained in paper form by calling 13 QGOV (13 7468) or online at </w:t>
      </w:r>
      <w:hyperlink r:id="rId18" w:history="1">
        <w:r w:rsidR="003A2DCF" w:rsidRPr="003A2DCF">
          <w:rPr>
            <w:rStyle w:val="Hyperlink"/>
            <w:color w:val="AB054C"/>
          </w:rPr>
          <w:t>www.igem.qld.gov.au/reports-and-publications/Pages/Annual-Report.aspx</w:t>
        </w:r>
      </w:hyperlink>
      <w:r w:rsidR="006266C6" w:rsidRPr="003A2DCF">
        <w:rPr>
          <w:rStyle w:val="Hyperlink"/>
          <w:color w:val="AB054C"/>
          <w:szCs w:val="22"/>
          <w:u w:val="none"/>
        </w:rPr>
        <w:t>.</w:t>
      </w:r>
    </w:p>
    <w:p w:rsidR="000E59B7" w:rsidRPr="00446769" w:rsidRDefault="000E59B7" w:rsidP="000E59B7">
      <w:pPr>
        <w:autoSpaceDE w:val="0"/>
        <w:autoSpaceDN w:val="0"/>
        <w:adjustRightInd w:val="0"/>
        <w:spacing w:before="0" w:after="0"/>
        <w:rPr>
          <w:b/>
          <w:bCs/>
        </w:rPr>
      </w:pPr>
      <w:r w:rsidRPr="00446769">
        <w:rPr>
          <w:b/>
        </w:rPr>
        <w:t>Feedback</w:t>
      </w:r>
    </w:p>
    <w:p w:rsidR="00A43641" w:rsidRPr="00B2375C" w:rsidRDefault="00A43641" w:rsidP="00A43641">
      <w:pPr>
        <w:autoSpaceDE w:val="0"/>
        <w:autoSpaceDN w:val="0"/>
        <w:adjustRightInd w:val="0"/>
        <w:spacing w:before="0" w:after="0"/>
      </w:pPr>
      <w:r w:rsidRPr="00B2375C">
        <w:t xml:space="preserve">Feedback on the annual report can be provided through the </w:t>
      </w:r>
      <w:r w:rsidRPr="00B2375C">
        <w:rPr>
          <w:i/>
        </w:rPr>
        <w:t>Get Involved</w:t>
      </w:r>
      <w:r w:rsidRPr="00B2375C">
        <w:t xml:space="preserve"> website: </w:t>
      </w:r>
      <w:hyperlink r:id="rId19" w:history="1">
        <w:r w:rsidR="00035B36" w:rsidRPr="003A2DCF">
          <w:rPr>
            <w:rStyle w:val="Hyperlink"/>
            <w:color w:val="AB054C"/>
          </w:rPr>
          <w:t>www.qld.gov.au/annualreportfeedback</w:t>
        </w:r>
      </w:hyperlink>
      <w:r w:rsidR="00035B36" w:rsidRPr="009924BA">
        <w:rPr>
          <w:rStyle w:val="Hyperlink"/>
          <w:color w:val="auto"/>
          <w:u w:val="none"/>
        </w:rPr>
        <w:t>.</w:t>
      </w:r>
    </w:p>
    <w:p w:rsidR="000E59B7" w:rsidRPr="00446769" w:rsidRDefault="000E59B7" w:rsidP="000E59B7">
      <w:pPr>
        <w:autoSpaceDE w:val="0"/>
        <w:autoSpaceDN w:val="0"/>
        <w:adjustRightInd w:val="0"/>
        <w:spacing w:before="100" w:beforeAutospacing="1" w:after="0"/>
        <w:rPr>
          <w:b/>
          <w:bCs/>
        </w:rPr>
      </w:pPr>
      <w:r w:rsidRPr="00446769">
        <w:rPr>
          <w:b/>
        </w:rPr>
        <w:t>Other languages and formats</w:t>
      </w:r>
    </w:p>
    <w:p w:rsidR="007A4AD3" w:rsidRPr="00B2375C" w:rsidRDefault="000E59B7" w:rsidP="008C50D0">
      <w:pPr>
        <w:autoSpaceDE w:val="0"/>
        <w:autoSpaceDN w:val="0"/>
        <w:adjustRightInd w:val="0"/>
        <w:spacing w:before="0" w:after="0"/>
      </w:pPr>
      <w:r w:rsidRPr="00B2375C">
        <w:rPr>
          <w:noProof/>
          <w:lang w:val="en-AU" w:eastAsia="en-AU"/>
        </w:rPr>
        <w:drawing>
          <wp:anchor distT="0" distB="0" distL="114300" distR="114300" simplePos="0" relativeHeight="251653120" behindDoc="0" locked="0" layoutInCell="1" allowOverlap="1" wp14:anchorId="36ABE4D9" wp14:editId="7B77257B">
            <wp:simplePos x="0" y="0"/>
            <wp:positionH relativeFrom="column">
              <wp:posOffset>6350</wp:posOffset>
            </wp:positionH>
            <wp:positionV relativeFrom="paragraph">
              <wp:posOffset>12065</wp:posOffset>
            </wp:positionV>
            <wp:extent cx="565150" cy="552450"/>
            <wp:effectExtent l="0" t="0" r="635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75C">
        <w:t>The Queensland Government is committed to providing accessible services to Quee</w:t>
      </w:r>
      <w:bookmarkStart w:id="0" w:name="_GoBack"/>
      <w:bookmarkEnd w:id="0"/>
      <w:r w:rsidRPr="00B2375C">
        <w:t>nslanders from all cultural and linguistic backgrounds. If you have difficulty understanding this publication and need a translator, please call the Translatin</w:t>
      </w:r>
      <w:r w:rsidR="00EB4121">
        <w:t>g and Interpreting Service (TIS </w:t>
      </w:r>
      <w:r w:rsidRPr="00B2375C">
        <w:t>National) on telephone number 131 450 and an interpreter will</w:t>
      </w:r>
      <w:r w:rsidR="000C3226">
        <w:t xml:space="preserve"> be arranged to communicate the report to you.</w:t>
      </w:r>
      <w:r w:rsidRPr="00B2375C">
        <w:t xml:space="preserve"> </w:t>
      </w:r>
      <w:r w:rsidR="008C50D0">
        <w:br w:type="column"/>
      </w:r>
      <w:r w:rsidR="007A4AD3" w:rsidRPr="00446769">
        <w:rPr>
          <w:b/>
        </w:rPr>
        <w:t>Copyright</w:t>
      </w:r>
    </w:p>
    <w:p w:rsidR="000E59B7" w:rsidRPr="00B2375C" w:rsidRDefault="007A4AD3" w:rsidP="000532A5">
      <w:pPr>
        <w:tabs>
          <w:tab w:val="left" w:pos="1418"/>
        </w:tabs>
        <w:autoSpaceDE w:val="0"/>
        <w:autoSpaceDN w:val="0"/>
        <w:adjustRightInd w:val="0"/>
        <w:spacing w:before="0" w:after="100" w:afterAutospacing="1"/>
        <w:rPr>
          <w:b/>
        </w:rPr>
      </w:pPr>
      <w:r w:rsidRPr="00B2375C">
        <w:t xml:space="preserve">© The State of Queensland, </w:t>
      </w:r>
      <w:r w:rsidR="00D142EC">
        <w:t>Office of the Inspector-General</w:t>
      </w:r>
      <w:r w:rsidR="000532A5">
        <w:t xml:space="preserve"> Emergency Management</w:t>
      </w:r>
      <w:r w:rsidR="00883274">
        <w:t xml:space="preserve"> </w:t>
      </w:r>
      <w:r w:rsidRPr="00B2375C">
        <w:t>201</w:t>
      </w:r>
      <w:r w:rsidR="00883274">
        <w:t>6</w:t>
      </w:r>
      <w:r w:rsidR="00F24BB9">
        <w:t xml:space="preserve">. </w:t>
      </w:r>
    </w:p>
    <w:p w:rsidR="000E59B7" w:rsidRPr="00446769" w:rsidRDefault="000E59B7" w:rsidP="000E59B7">
      <w:pPr>
        <w:autoSpaceDE w:val="0"/>
        <w:autoSpaceDN w:val="0"/>
        <w:adjustRightInd w:val="0"/>
        <w:spacing w:before="100" w:beforeAutospacing="1" w:after="0"/>
        <w:rPr>
          <w:b/>
          <w:bCs/>
        </w:rPr>
      </w:pPr>
      <w:r w:rsidRPr="00446769">
        <w:rPr>
          <w:b/>
        </w:rPr>
        <w:t>Licence</w:t>
      </w:r>
    </w:p>
    <w:p w:rsidR="000E59B7" w:rsidRPr="00B2375C" w:rsidRDefault="00347C70" w:rsidP="00347C70">
      <w:pPr>
        <w:autoSpaceDE w:val="0"/>
        <w:autoSpaceDN w:val="0"/>
        <w:adjustRightInd w:val="0"/>
        <w:spacing w:before="0" w:after="0"/>
        <w:ind w:left="1440"/>
      </w:pPr>
      <w:r w:rsidRPr="00B2375C">
        <w:rPr>
          <w:b/>
          <w:noProof/>
          <w:lang w:val="en-AU" w:eastAsia="en-AU"/>
        </w:rPr>
        <w:drawing>
          <wp:anchor distT="0" distB="0" distL="114300" distR="114300" simplePos="0" relativeHeight="251654144" behindDoc="0" locked="0" layoutInCell="1" allowOverlap="1" wp14:anchorId="01EBE999" wp14:editId="526D5112">
            <wp:simplePos x="0" y="0"/>
            <wp:positionH relativeFrom="column">
              <wp:align>left</wp:align>
            </wp:positionH>
            <wp:positionV relativeFrom="paragraph">
              <wp:posOffset>83820</wp:posOffset>
            </wp:positionV>
            <wp:extent cx="755650" cy="284480"/>
            <wp:effectExtent l="0" t="0" r="6350" b="127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65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B7" w:rsidRPr="00B2375C">
        <w:t xml:space="preserve">This annual report is licensed by the State of Queensland, </w:t>
      </w:r>
      <w:r w:rsidR="00D142EC">
        <w:t>Office of the Inspector-General</w:t>
      </w:r>
      <w:r w:rsidR="000532A5">
        <w:t xml:space="preserve"> Emergency Management</w:t>
      </w:r>
      <w:r w:rsidR="000E59B7" w:rsidRPr="00B2375C">
        <w:t xml:space="preserve"> under a Creative </w:t>
      </w:r>
      <w:r w:rsidR="000E59B7" w:rsidRPr="00824FA6">
        <w:t xml:space="preserve">Commons Attribution (CC BY) </w:t>
      </w:r>
      <w:r w:rsidR="00805C7F" w:rsidRPr="00824FA6">
        <w:t>4.0 </w:t>
      </w:r>
      <w:r w:rsidR="000E59B7" w:rsidRPr="00824FA6">
        <w:t>Australia licence.</w:t>
      </w:r>
    </w:p>
    <w:p w:rsidR="000E59B7" w:rsidRPr="00B2375C" w:rsidRDefault="000E59B7" w:rsidP="000E59B7">
      <w:pPr>
        <w:autoSpaceDE w:val="0"/>
        <w:autoSpaceDN w:val="0"/>
        <w:adjustRightInd w:val="0"/>
        <w:spacing w:before="0" w:after="0"/>
        <w:rPr>
          <w:sz w:val="4"/>
          <w:szCs w:val="4"/>
        </w:rPr>
      </w:pPr>
    </w:p>
    <w:p w:rsidR="000E59B7" w:rsidRPr="00446769" w:rsidRDefault="000E59B7" w:rsidP="000E59B7">
      <w:pPr>
        <w:autoSpaceDE w:val="0"/>
        <w:autoSpaceDN w:val="0"/>
        <w:adjustRightInd w:val="0"/>
        <w:spacing w:before="100" w:beforeAutospacing="1" w:after="0"/>
        <w:rPr>
          <w:b/>
          <w:bCs/>
        </w:rPr>
      </w:pPr>
      <w:r w:rsidRPr="00446769">
        <w:rPr>
          <w:b/>
        </w:rPr>
        <w:t>CC BY Licence Summary Statement</w:t>
      </w:r>
    </w:p>
    <w:p w:rsidR="000E59B7" w:rsidRPr="00B2375C" w:rsidRDefault="000E59B7" w:rsidP="000E59B7">
      <w:pPr>
        <w:autoSpaceDE w:val="0"/>
        <w:autoSpaceDN w:val="0"/>
        <w:adjustRightInd w:val="0"/>
        <w:spacing w:before="0" w:after="0"/>
      </w:pPr>
      <w:r w:rsidRPr="00B2375C">
        <w:t xml:space="preserve">In essence, you are free to copy, communicate and adapt this annual report, as long as you attribute the work to the State of Queensland, </w:t>
      </w:r>
      <w:r w:rsidR="000532A5">
        <w:t>O</w:t>
      </w:r>
      <w:r w:rsidR="00D142EC">
        <w:t xml:space="preserve">ffice of the Inspector-General </w:t>
      </w:r>
      <w:r w:rsidR="000532A5">
        <w:t>Emergency Mana</w:t>
      </w:r>
      <w:r w:rsidR="000532A5" w:rsidRPr="00A8123D">
        <w:t>gement</w:t>
      </w:r>
      <w:r w:rsidRPr="00A8123D">
        <w:t>. To view</w:t>
      </w:r>
      <w:r w:rsidRPr="00B2375C">
        <w:t xml:space="preserve"> a copy of this licence, visit: </w:t>
      </w:r>
      <w:hyperlink r:id="rId22" w:history="1">
        <w:r w:rsidR="00FE5E7B" w:rsidRPr="00824FA6">
          <w:rPr>
            <w:rStyle w:val="Hyperlink"/>
            <w:color w:val="AB054C"/>
          </w:rPr>
          <w:t>www.creativecommons.org/licenses/by/3.0/au/deed.en</w:t>
        </w:r>
        <w:r w:rsidR="00FE5E7B" w:rsidRPr="009924BA">
          <w:rPr>
            <w:rStyle w:val="Hyperlink"/>
            <w:color w:val="auto"/>
            <w:u w:val="none"/>
          </w:rPr>
          <w:t>.</w:t>
        </w:r>
      </w:hyperlink>
    </w:p>
    <w:p w:rsidR="000E59B7" w:rsidRPr="00446769" w:rsidRDefault="000E59B7" w:rsidP="000E59B7">
      <w:pPr>
        <w:autoSpaceDE w:val="0"/>
        <w:autoSpaceDN w:val="0"/>
        <w:adjustRightInd w:val="0"/>
        <w:spacing w:before="100" w:beforeAutospacing="1" w:after="0"/>
        <w:rPr>
          <w:b/>
          <w:bCs/>
        </w:rPr>
      </w:pPr>
      <w:r w:rsidRPr="00446769">
        <w:rPr>
          <w:b/>
        </w:rPr>
        <w:t>Attribution</w:t>
      </w:r>
    </w:p>
    <w:p w:rsidR="000E59B7" w:rsidRPr="00540AAC" w:rsidRDefault="000E59B7" w:rsidP="000E59B7">
      <w:pPr>
        <w:autoSpaceDE w:val="0"/>
        <w:autoSpaceDN w:val="0"/>
        <w:adjustRightInd w:val="0"/>
        <w:spacing w:before="0" w:after="0"/>
      </w:pPr>
      <w:r w:rsidRPr="00B2375C">
        <w:t>Content from this annual report should be attributed as: The State of Queensland,</w:t>
      </w:r>
      <w:r w:rsidR="00B2375C" w:rsidRPr="00B2375C">
        <w:t xml:space="preserve"> </w:t>
      </w:r>
      <w:r w:rsidR="00D142EC">
        <w:t>Office of the Inspector-General</w:t>
      </w:r>
      <w:r w:rsidR="000532A5">
        <w:t xml:space="preserve"> Emergency Management</w:t>
      </w:r>
      <w:r w:rsidR="00540AAC" w:rsidRPr="00540AAC">
        <w:t xml:space="preserve"> </w:t>
      </w:r>
      <w:r w:rsidRPr="00540AAC">
        <w:t>Annual Report 2015-16.</w:t>
      </w:r>
    </w:p>
    <w:p w:rsidR="000E59B7" w:rsidRPr="00446769" w:rsidRDefault="000E59B7" w:rsidP="000E59B7">
      <w:pPr>
        <w:spacing w:before="100" w:beforeAutospacing="1" w:after="0"/>
        <w:rPr>
          <w:b/>
          <w:bCs/>
        </w:rPr>
      </w:pPr>
      <w:r w:rsidRPr="00446769">
        <w:rPr>
          <w:b/>
        </w:rPr>
        <w:t xml:space="preserve">ISSN:  </w:t>
      </w:r>
      <w:r w:rsidRPr="00446769">
        <w:rPr>
          <w:b/>
        </w:rPr>
        <w:tab/>
      </w:r>
    </w:p>
    <w:p w:rsidR="000532A5" w:rsidRDefault="000532A5" w:rsidP="00824FA6">
      <w:pPr>
        <w:tabs>
          <w:tab w:val="left" w:pos="851"/>
        </w:tabs>
        <w:spacing w:before="0" w:after="0"/>
      </w:pPr>
      <w:r>
        <w:t>Online</w:t>
      </w:r>
      <w:r w:rsidR="008F1569">
        <w:t>:</w:t>
      </w:r>
      <w:r>
        <w:t xml:space="preserve"> </w:t>
      </w:r>
      <w:r w:rsidR="00824FA6">
        <w:tab/>
      </w:r>
      <w:r>
        <w:t xml:space="preserve">2205-6548 </w:t>
      </w:r>
    </w:p>
    <w:p w:rsidR="000532A5" w:rsidRDefault="000532A5" w:rsidP="00824FA6">
      <w:pPr>
        <w:tabs>
          <w:tab w:val="left" w:pos="851"/>
        </w:tabs>
        <w:spacing w:before="0" w:after="0"/>
      </w:pPr>
      <w:r>
        <w:t>Print</w:t>
      </w:r>
      <w:r w:rsidR="008F1569">
        <w:t>:</w:t>
      </w:r>
      <w:r>
        <w:t xml:space="preserve"> </w:t>
      </w:r>
      <w:r w:rsidR="00824FA6">
        <w:tab/>
      </w:r>
      <w:r>
        <w:t>2206-1444</w:t>
      </w:r>
    </w:p>
    <w:p w:rsidR="000E59B7" w:rsidRPr="00341581" w:rsidRDefault="000E59B7" w:rsidP="000E59B7">
      <w:pPr>
        <w:spacing w:before="0" w:after="0"/>
        <w:ind w:left="567" w:firstLine="567"/>
        <w:rPr>
          <w:bCs/>
        </w:rPr>
      </w:pPr>
    </w:p>
    <w:p w:rsidR="000E59B7" w:rsidRPr="00341581" w:rsidRDefault="000E59B7" w:rsidP="000E59B7">
      <w:pPr>
        <w:spacing w:before="0" w:after="0"/>
        <w:ind w:left="567" w:firstLine="567"/>
        <w:rPr>
          <w:bCs/>
        </w:rPr>
      </w:pPr>
    </w:p>
    <w:p w:rsidR="000E59B7" w:rsidRPr="00341581" w:rsidRDefault="000E59B7" w:rsidP="000E59B7">
      <w:pPr>
        <w:spacing w:before="0" w:after="0"/>
        <w:ind w:left="567" w:firstLine="567"/>
        <w:rPr>
          <w:bCs/>
        </w:rPr>
      </w:pPr>
    </w:p>
    <w:p w:rsidR="000E59B7" w:rsidRPr="00341581" w:rsidRDefault="000E59B7" w:rsidP="000E59B7">
      <w:pPr>
        <w:spacing w:before="0" w:after="0"/>
        <w:ind w:left="567" w:firstLine="567"/>
        <w:rPr>
          <w:bCs/>
        </w:rPr>
      </w:pPr>
    </w:p>
    <w:p w:rsidR="000E59B7" w:rsidRPr="00341581" w:rsidRDefault="000E59B7" w:rsidP="000E59B7">
      <w:pPr>
        <w:spacing w:before="0" w:after="0"/>
        <w:ind w:left="567" w:firstLine="567"/>
        <w:rPr>
          <w:bCs/>
        </w:rPr>
        <w:sectPr w:rsidR="000E59B7" w:rsidRPr="00341581" w:rsidSect="00504EDD">
          <w:headerReference w:type="even" r:id="rId23"/>
          <w:headerReference w:type="default" r:id="rId24"/>
          <w:headerReference w:type="first" r:id="rId25"/>
          <w:footerReference w:type="first" r:id="rId26"/>
          <w:pgSz w:w="11906" w:h="16838" w:code="9"/>
          <w:pgMar w:top="720" w:right="964" w:bottom="720" w:left="1134" w:header="567" w:footer="567" w:gutter="0"/>
          <w:pgNumType w:fmt="lowerRoman" w:start="1"/>
          <w:cols w:num="2" w:space="709"/>
          <w:docGrid w:linePitch="360"/>
        </w:sectPr>
      </w:pPr>
    </w:p>
    <w:tbl>
      <w:tblPr>
        <w:tblpPr w:leftFromText="180" w:rightFromText="180" w:vertAnchor="text" w:horzAnchor="margin" w:tblpY="944"/>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3"/>
        <w:gridCol w:w="4544"/>
        <w:gridCol w:w="874"/>
        <w:gridCol w:w="3800"/>
      </w:tblGrid>
      <w:tr w:rsidR="0084742D" w:rsidRPr="00341581" w:rsidTr="0084742D">
        <w:trPr>
          <w:trHeight w:val="280"/>
        </w:trPr>
        <w:tc>
          <w:tcPr>
            <w:tcW w:w="9991" w:type="dxa"/>
            <w:gridSpan w:val="4"/>
            <w:tcBorders>
              <w:top w:val="nil"/>
              <w:left w:val="nil"/>
              <w:bottom w:val="nil"/>
              <w:right w:val="nil"/>
            </w:tcBorders>
            <w:vAlign w:val="center"/>
          </w:tcPr>
          <w:p w:rsidR="0084742D" w:rsidRPr="00CE0504" w:rsidRDefault="0084742D" w:rsidP="0084742D">
            <w:pPr>
              <w:pStyle w:val="TableParagraph"/>
              <w:ind w:left="232"/>
              <w:rPr>
                <w:rFonts w:ascii="Arial" w:eastAsia="Arial" w:hAnsi="Arial" w:cs="Arial"/>
                <w:b/>
                <w:sz w:val="20"/>
                <w:szCs w:val="20"/>
              </w:rPr>
            </w:pPr>
            <w:r w:rsidRPr="00CE0504">
              <w:rPr>
                <w:rFonts w:ascii="Arial" w:hAnsi="Arial" w:cs="Arial"/>
                <w:b/>
                <w:sz w:val="20"/>
              </w:rPr>
              <w:t>Office of the Inspector-General Emergency</w:t>
            </w:r>
            <w:r w:rsidRPr="00CE0504">
              <w:rPr>
                <w:rFonts w:ascii="Arial" w:hAnsi="Arial" w:cs="Arial"/>
                <w:b/>
                <w:spacing w:val="-28"/>
                <w:sz w:val="20"/>
              </w:rPr>
              <w:t xml:space="preserve"> </w:t>
            </w:r>
            <w:r w:rsidRPr="00CE0504">
              <w:rPr>
                <w:rFonts w:ascii="Arial" w:hAnsi="Arial" w:cs="Arial"/>
                <w:b/>
                <w:sz w:val="20"/>
              </w:rPr>
              <w:t>Management</w:t>
            </w:r>
          </w:p>
        </w:tc>
      </w:tr>
      <w:tr w:rsidR="0084742D" w:rsidRPr="00341581" w:rsidTr="0084742D">
        <w:trPr>
          <w:trHeight w:val="280"/>
        </w:trPr>
        <w:tc>
          <w:tcPr>
            <w:tcW w:w="773" w:type="dxa"/>
            <w:tcBorders>
              <w:top w:val="nil"/>
              <w:left w:val="nil"/>
              <w:bottom w:val="nil"/>
              <w:right w:val="nil"/>
            </w:tcBorders>
            <w:vAlign w:val="center"/>
          </w:tcPr>
          <w:p w:rsidR="0084742D" w:rsidRPr="00341581" w:rsidRDefault="0084742D" w:rsidP="0084742D">
            <w:pPr>
              <w:spacing w:before="0" w:after="0"/>
              <w:jc w:val="center"/>
            </w:pPr>
            <w:r w:rsidRPr="00341581">
              <w:rPr>
                <w:noProof/>
                <w:lang w:val="en-AU" w:eastAsia="en-AU"/>
              </w:rPr>
              <w:drawing>
                <wp:inline distT="0" distB="0" distL="0" distR="0" wp14:anchorId="78B56E99" wp14:editId="6360E62E">
                  <wp:extent cx="266700" cy="295275"/>
                  <wp:effectExtent l="0" t="0" r="0" b="9525"/>
                  <wp:docPr id="1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tc>
        <w:tc>
          <w:tcPr>
            <w:tcW w:w="9218" w:type="dxa"/>
            <w:gridSpan w:val="3"/>
            <w:tcBorders>
              <w:top w:val="nil"/>
              <w:left w:val="nil"/>
              <w:bottom w:val="nil"/>
              <w:right w:val="nil"/>
            </w:tcBorders>
            <w:vAlign w:val="center"/>
          </w:tcPr>
          <w:p w:rsidR="0084742D" w:rsidRPr="00446769" w:rsidRDefault="003E64D5" w:rsidP="0084742D">
            <w:pPr>
              <w:pStyle w:val="TableParagraph"/>
              <w:ind w:left="110"/>
              <w:rPr>
                <w:rFonts w:ascii="Arial" w:eastAsia="Arial" w:hAnsi="Arial" w:cs="Arial"/>
                <w:sz w:val="20"/>
                <w:szCs w:val="20"/>
                <w:u w:val="single"/>
              </w:rPr>
            </w:pPr>
            <w:hyperlink r:id="rId28">
              <w:r w:rsidR="0084742D" w:rsidRPr="00824FA6">
                <w:rPr>
                  <w:rFonts w:ascii="Arial" w:hAnsi="Arial" w:cs="Arial"/>
                  <w:color w:val="AB054C"/>
                  <w:sz w:val="20"/>
                  <w:u w:val="single"/>
                </w:rPr>
                <w:t>www.facebook.com/InspectorGeneralEmergencyManagement</w:t>
              </w:r>
            </w:hyperlink>
          </w:p>
        </w:tc>
      </w:tr>
      <w:tr w:rsidR="0084742D" w:rsidRPr="00341581" w:rsidTr="0084742D">
        <w:trPr>
          <w:trHeight w:val="280"/>
        </w:trPr>
        <w:tc>
          <w:tcPr>
            <w:tcW w:w="9991" w:type="dxa"/>
            <w:gridSpan w:val="4"/>
            <w:tcBorders>
              <w:top w:val="nil"/>
              <w:left w:val="nil"/>
              <w:bottom w:val="nil"/>
              <w:right w:val="nil"/>
            </w:tcBorders>
            <w:vAlign w:val="center"/>
          </w:tcPr>
          <w:p w:rsidR="0084742D" w:rsidRPr="00CE0504" w:rsidRDefault="0084742D" w:rsidP="0084742D">
            <w:pPr>
              <w:pStyle w:val="TableParagraph"/>
              <w:ind w:left="232"/>
              <w:rPr>
                <w:rFonts w:ascii="Arial" w:eastAsia="Arial" w:hAnsi="Arial" w:cs="Arial"/>
                <w:b/>
                <w:sz w:val="20"/>
                <w:szCs w:val="20"/>
              </w:rPr>
            </w:pPr>
            <w:r w:rsidRPr="00CE0504">
              <w:rPr>
                <w:rFonts w:ascii="Arial" w:hAnsi="Arial" w:cs="Arial"/>
                <w:b/>
                <w:sz w:val="20"/>
              </w:rPr>
              <w:t>Queensland Fire and Emergency</w:t>
            </w:r>
            <w:r w:rsidRPr="00CE0504">
              <w:rPr>
                <w:rFonts w:ascii="Arial" w:hAnsi="Arial" w:cs="Arial"/>
                <w:b/>
                <w:spacing w:val="-19"/>
                <w:sz w:val="20"/>
              </w:rPr>
              <w:t xml:space="preserve"> </w:t>
            </w:r>
            <w:r w:rsidRPr="00CE0504">
              <w:rPr>
                <w:rFonts w:ascii="Arial" w:hAnsi="Arial" w:cs="Arial"/>
                <w:b/>
                <w:sz w:val="20"/>
              </w:rPr>
              <w:t>Services</w:t>
            </w:r>
          </w:p>
        </w:tc>
      </w:tr>
      <w:tr w:rsidR="0084742D" w:rsidRPr="00341581" w:rsidTr="0084742D">
        <w:trPr>
          <w:trHeight w:val="280"/>
        </w:trPr>
        <w:tc>
          <w:tcPr>
            <w:tcW w:w="773" w:type="dxa"/>
            <w:tcBorders>
              <w:top w:val="nil"/>
              <w:left w:val="nil"/>
              <w:bottom w:val="nil"/>
              <w:right w:val="nil"/>
            </w:tcBorders>
            <w:vAlign w:val="center"/>
          </w:tcPr>
          <w:p w:rsidR="0084742D" w:rsidRPr="00341581" w:rsidRDefault="0084742D" w:rsidP="0084742D">
            <w:pPr>
              <w:spacing w:before="0" w:after="0"/>
              <w:jc w:val="center"/>
            </w:pPr>
            <w:r w:rsidRPr="00341581">
              <w:rPr>
                <w:rFonts w:eastAsia="Arial"/>
                <w:noProof/>
                <w:position w:val="-8"/>
                <w:lang w:val="en-AU" w:eastAsia="en-AU"/>
              </w:rPr>
              <w:drawing>
                <wp:inline distT="0" distB="0" distL="0" distR="0" wp14:anchorId="176B6F2B" wp14:editId="0F949326">
                  <wp:extent cx="266700" cy="295275"/>
                  <wp:effectExtent l="0" t="0" r="0" b="9525"/>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tc>
        <w:tc>
          <w:tcPr>
            <w:tcW w:w="4544" w:type="dxa"/>
            <w:tcBorders>
              <w:top w:val="nil"/>
              <w:left w:val="nil"/>
              <w:bottom w:val="nil"/>
              <w:right w:val="nil"/>
            </w:tcBorders>
            <w:vAlign w:val="center"/>
          </w:tcPr>
          <w:p w:rsidR="0084742D" w:rsidRPr="00446769" w:rsidRDefault="003E64D5" w:rsidP="0084742D">
            <w:pPr>
              <w:pStyle w:val="TableParagraph"/>
              <w:ind w:left="110"/>
              <w:rPr>
                <w:rFonts w:ascii="Arial" w:eastAsia="Arial" w:hAnsi="Arial" w:cs="Arial"/>
                <w:sz w:val="20"/>
                <w:szCs w:val="20"/>
                <w:u w:val="single"/>
              </w:rPr>
            </w:pPr>
            <w:hyperlink r:id="rId29">
              <w:r w:rsidR="0084742D" w:rsidRPr="00824FA6">
                <w:rPr>
                  <w:rFonts w:ascii="Arial" w:hAnsi="Arial" w:cs="Arial"/>
                  <w:color w:val="AB054C"/>
                  <w:sz w:val="20"/>
                  <w:u w:val="single"/>
                </w:rPr>
                <w:t>www.facebook.com/QldFireandRescueService</w:t>
              </w:r>
            </w:hyperlink>
          </w:p>
        </w:tc>
        <w:tc>
          <w:tcPr>
            <w:tcW w:w="874" w:type="dxa"/>
            <w:tcBorders>
              <w:top w:val="nil"/>
              <w:left w:val="nil"/>
              <w:bottom w:val="nil"/>
              <w:right w:val="nil"/>
            </w:tcBorders>
            <w:vAlign w:val="center"/>
          </w:tcPr>
          <w:p w:rsidR="0084742D" w:rsidRPr="00341581" w:rsidRDefault="0084742D" w:rsidP="0084742D">
            <w:pPr>
              <w:spacing w:before="0" w:after="0"/>
              <w:jc w:val="center"/>
            </w:pPr>
            <w:r w:rsidRPr="00341581">
              <w:rPr>
                <w:noProof/>
                <w:lang w:val="en-AU" w:eastAsia="en-AU"/>
              </w:rPr>
              <w:drawing>
                <wp:inline distT="0" distB="0" distL="0" distR="0" wp14:anchorId="51DDDA11" wp14:editId="4703A008">
                  <wp:extent cx="295275" cy="276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tc>
        <w:tc>
          <w:tcPr>
            <w:tcW w:w="3800" w:type="dxa"/>
            <w:tcBorders>
              <w:top w:val="nil"/>
              <w:left w:val="nil"/>
              <w:bottom w:val="nil"/>
              <w:right w:val="nil"/>
            </w:tcBorders>
            <w:vAlign w:val="center"/>
          </w:tcPr>
          <w:p w:rsidR="0084742D" w:rsidRPr="00824FA6" w:rsidRDefault="003E64D5" w:rsidP="0084742D">
            <w:pPr>
              <w:pStyle w:val="TableParagraph"/>
              <w:ind w:left="108"/>
              <w:rPr>
                <w:rFonts w:ascii="Arial" w:eastAsia="Arial" w:hAnsi="Arial" w:cs="Arial"/>
                <w:color w:val="AB054C"/>
                <w:sz w:val="20"/>
                <w:szCs w:val="20"/>
                <w:u w:val="single"/>
              </w:rPr>
            </w:pPr>
            <w:hyperlink r:id="rId31">
              <w:r w:rsidR="0084742D" w:rsidRPr="00824FA6">
                <w:rPr>
                  <w:rFonts w:ascii="Arial" w:hAnsi="Arial" w:cs="Arial"/>
                  <w:color w:val="AB054C"/>
                  <w:sz w:val="20"/>
                  <w:u w:val="single"/>
                </w:rPr>
                <w:t>www.youtube.com/user/FireRescueQld</w:t>
              </w:r>
            </w:hyperlink>
          </w:p>
        </w:tc>
      </w:tr>
      <w:tr w:rsidR="0084742D" w:rsidRPr="00341581" w:rsidTr="0084742D">
        <w:trPr>
          <w:trHeight w:val="280"/>
        </w:trPr>
        <w:tc>
          <w:tcPr>
            <w:tcW w:w="773" w:type="dxa"/>
            <w:tcBorders>
              <w:top w:val="nil"/>
              <w:left w:val="nil"/>
              <w:bottom w:val="nil"/>
              <w:right w:val="nil"/>
            </w:tcBorders>
            <w:vAlign w:val="center"/>
          </w:tcPr>
          <w:p w:rsidR="0084742D" w:rsidRPr="00341581" w:rsidRDefault="0084742D" w:rsidP="0084742D">
            <w:pPr>
              <w:spacing w:before="0" w:after="0"/>
              <w:jc w:val="center"/>
            </w:pPr>
            <w:r w:rsidRPr="00341581">
              <w:rPr>
                <w:noProof/>
                <w:lang w:val="en-AU" w:eastAsia="en-AU"/>
              </w:rPr>
              <w:drawing>
                <wp:inline distT="0" distB="0" distL="0" distR="0" wp14:anchorId="711F3549" wp14:editId="554C1E50">
                  <wp:extent cx="276225" cy="3048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tc>
        <w:tc>
          <w:tcPr>
            <w:tcW w:w="4544" w:type="dxa"/>
            <w:tcBorders>
              <w:top w:val="nil"/>
              <w:left w:val="nil"/>
              <w:bottom w:val="nil"/>
              <w:right w:val="nil"/>
            </w:tcBorders>
            <w:vAlign w:val="center"/>
          </w:tcPr>
          <w:p w:rsidR="0084742D" w:rsidRPr="00446769" w:rsidRDefault="003E64D5" w:rsidP="0084742D">
            <w:pPr>
              <w:pStyle w:val="TableParagraph"/>
              <w:ind w:left="109"/>
              <w:rPr>
                <w:rFonts w:ascii="Arial" w:eastAsia="Arial" w:hAnsi="Arial" w:cs="Arial"/>
                <w:sz w:val="20"/>
                <w:szCs w:val="20"/>
                <w:u w:val="single"/>
              </w:rPr>
            </w:pPr>
            <w:hyperlink r:id="rId33">
              <w:r w:rsidR="0084742D" w:rsidRPr="00824FA6">
                <w:rPr>
                  <w:rFonts w:ascii="Arial" w:hAnsi="Arial" w:cs="Arial"/>
                  <w:color w:val="AB054C"/>
                  <w:sz w:val="20"/>
                  <w:u w:val="single"/>
                </w:rPr>
                <w:t>www.twitter.com/@QldFES</w:t>
              </w:r>
            </w:hyperlink>
          </w:p>
        </w:tc>
        <w:tc>
          <w:tcPr>
            <w:tcW w:w="874" w:type="dxa"/>
            <w:tcBorders>
              <w:top w:val="nil"/>
              <w:left w:val="nil"/>
              <w:bottom w:val="nil"/>
              <w:right w:val="nil"/>
            </w:tcBorders>
            <w:vAlign w:val="center"/>
          </w:tcPr>
          <w:p w:rsidR="0084742D" w:rsidRPr="00341581" w:rsidRDefault="0084742D" w:rsidP="0084742D">
            <w:pPr>
              <w:spacing w:before="0" w:after="0"/>
              <w:jc w:val="center"/>
            </w:pPr>
            <w:r w:rsidRPr="00341581">
              <w:rPr>
                <w:noProof/>
                <w:lang w:val="en-AU" w:eastAsia="en-AU"/>
              </w:rPr>
              <w:drawing>
                <wp:inline distT="0" distB="0" distL="0" distR="0" wp14:anchorId="6433D95F" wp14:editId="34270A72">
                  <wp:extent cx="27622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3800" w:type="dxa"/>
            <w:tcBorders>
              <w:top w:val="nil"/>
              <w:left w:val="nil"/>
              <w:bottom w:val="nil"/>
              <w:right w:val="nil"/>
            </w:tcBorders>
            <w:vAlign w:val="center"/>
          </w:tcPr>
          <w:p w:rsidR="0084742D" w:rsidRPr="00824FA6" w:rsidRDefault="003E64D5" w:rsidP="0084742D">
            <w:pPr>
              <w:pStyle w:val="TableParagraph"/>
              <w:ind w:left="108"/>
              <w:rPr>
                <w:rFonts w:ascii="Arial" w:eastAsia="Arial" w:hAnsi="Arial" w:cs="Arial"/>
                <w:color w:val="AB054C"/>
                <w:sz w:val="20"/>
                <w:szCs w:val="20"/>
                <w:u w:val="single"/>
              </w:rPr>
            </w:pPr>
            <w:hyperlink r:id="rId35">
              <w:r w:rsidR="0084742D" w:rsidRPr="00824FA6">
                <w:rPr>
                  <w:rFonts w:ascii="Arial" w:hAnsi="Arial" w:cs="Arial"/>
                  <w:color w:val="AB054C"/>
                  <w:sz w:val="20"/>
                  <w:u w:val="single"/>
                </w:rPr>
                <w:t>www.instagram.com/qldfire/</w:t>
              </w:r>
            </w:hyperlink>
          </w:p>
        </w:tc>
      </w:tr>
      <w:tr w:rsidR="000C3226" w:rsidRPr="00341581" w:rsidTr="0084742D">
        <w:trPr>
          <w:trHeight w:val="280"/>
        </w:trPr>
        <w:tc>
          <w:tcPr>
            <w:tcW w:w="9991" w:type="dxa"/>
            <w:gridSpan w:val="4"/>
            <w:tcBorders>
              <w:top w:val="nil"/>
              <w:left w:val="nil"/>
              <w:bottom w:val="nil"/>
              <w:right w:val="nil"/>
            </w:tcBorders>
            <w:vAlign w:val="center"/>
          </w:tcPr>
          <w:p w:rsidR="000C3226" w:rsidRPr="00CE0504" w:rsidRDefault="000C3226" w:rsidP="000C3226">
            <w:pPr>
              <w:pStyle w:val="TableParagraph"/>
              <w:ind w:left="232"/>
              <w:rPr>
                <w:rFonts w:ascii="Arial" w:hAnsi="Arial" w:cs="Arial"/>
                <w:b/>
                <w:sz w:val="20"/>
              </w:rPr>
            </w:pPr>
            <w:r w:rsidRPr="00CE0504">
              <w:rPr>
                <w:rFonts w:ascii="Arial" w:hAnsi="Arial" w:cs="Arial"/>
                <w:b/>
                <w:sz w:val="20"/>
              </w:rPr>
              <w:t>Queensland Police</w:t>
            </w:r>
            <w:r w:rsidRPr="00CE0504">
              <w:rPr>
                <w:rFonts w:ascii="Arial" w:hAnsi="Arial" w:cs="Arial"/>
                <w:b/>
                <w:spacing w:val="-12"/>
                <w:sz w:val="20"/>
              </w:rPr>
              <w:t xml:space="preserve"> </w:t>
            </w:r>
            <w:r w:rsidRPr="00CE0504">
              <w:rPr>
                <w:rFonts w:ascii="Arial" w:hAnsi="Arial" w:cs="Arial"/>
                <w:b/>
                <w:sz w:val="20"/>
              </w:rPr>
              <w:t>Service</w:t>
            </w:r>
          </w:p>
        </w:tc>
      </w:tr>
      <w:tr w:rsidR="000C3226" w:rsidRPr="00341581" w:rsidTr="0084742D">
        <w:trPr>
          <w:trHeight w:val="168"/>
        </w:trPr>
        <w:tc>
          <w:tcPr>
            <w:tcW w:w="773" w:type="dxa"/>
            <w:tcBorders>
              <w:top w:val="nil"/>
              <w:left w:val="nil"/>
              <w:bottom w:val="nil"/>
              <w:right w:val="nil"/>
            </w:tcBorders>
            <w:vAlign w:val="center"/>
          </w:tcPr>
          <w:p w:rsidR="000C3226" w:rsidRPr="00341581" w:rsidRDefault="000C3226" w:rsidP="000C3226">
            <w:pPr>
              <w:spacing w:before="0" w:after="0"/>
              <w:jc w:val="center"/>
            </w:pPr>
            <w:r w:rsidRPr="00341581">
              <w:rPr>
                <w:noProof/>
                <w:lang w:val="en-AU" w:eastAsia="en-AU"/>
              </w:rPr>
              <w:drawing>
                <wp:inline distT="0" distB="0" distL="0" distR="0" wp14:anchorId="58C897B2" wp14:editId="2270712A">
                  <wp:extent cx="27622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4544" w:type="dxa"/>
            <w:tcBorders>
              <w:top w:val="nil"/>
              <w:left w:val="nil"/>
              <w:bottom w:val="nil"/>
              <w:right w:val="nil"/>
            </w:tcBorders>
            <w:vAlign w:val="center"/>
          </w:tcPr>
          <w:p w:rsidR="000C3226" w:rsidRPr="00824FA6" w:rsidRDefault="003E64D5" w:rsidP="000C3226">
            <w:pPr>
              <w:pStyle w:val="TableParagraph"/>
              <w:ind w:left="110"/>
              <w:rPr>
                <w:rFonts w:ascii="Arial" w:eastAsia="Arial" w:hAnsi="Arial" w:cs="Arial"/>
                <w:color w:val="AB054C"/>
                <w:sz w:val="20"/>
                <w:szCs w:val="20"/>
                <w:u w:val="single"/>
              </w:rPr>
            </w:pPr>
            <w:hyperlink r:id="rId37">
              <w:r w:rsidR="000C3226" w:rsidRPr="00824FA6">
                <w:rPr>
                  <w:rFonts w:ascii="Arial" w:hAnsi="Arial" w:cs="Arial"/>
                  <w:color w:val="AB054C"/>
                  <w:sz w:val="20"/>
                  <w:u w:val="single"/>
                </w:rPr>
                <w:t>www.mypolice.qld.gov.au/</w:t>
              </w:r>
            </w:hyperlink>
          </w:p>
        </w:tc>
        <w:tc>
          <w:tcPr>
            <w:tcW w:w="874" w:type="dxa"/>
            <w:tcBorders>
              <w:top w:val="nil"/>
              <w:left w:val="nil"/>
              <w:bottom w:val="nil"/>
              <w:right w:val="nil"/>
            </w:tcBorders>
            <w:vAlign w:val="center"/>
          </w:tcPr>
          <w:p w:rsidR="000C3226" w:rsidRPr="00341581" w:rsidRDefault="000C3226" w:rsidP="000C3226">
            <w:pPr>
              <w:spacing w:before="0" w:after="0"/>
              <w:jc w:val="center"/>
            </w:pPr>
            <w:r w:rsidRPr="00341581">
              <w:rPr>
                <w:noProof/>
                <w:lang w:val="en-AU" w:eastAsia="en-AU"/>
              </w:rPr>
              <w:drawing>
                <wp:inline distT="0" distB="0" distL="0" distR="0" wp14:anchorId="4EB22881" wp14:editId="23C8CB4F">
                  <wp:extent cx="29527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tc>
        <w:tc>
          <w:tcPr>
            <w:tcW w:w="3800" w:type="dxa"/>
            <w:tcBorders>
              <w:top w:val="nil"/>
              <w:left w:val="nil"/>
              <w:bottom w:val="nil"/>
              <w:right w:val="nil"/>
            </w:tcBorders>
            <w:vAlign w:val="center"/>
          </w:tcPr>
          <w:p w:rsidR="000C3226" w:rsidRPr="00824FA6" w:rsidRDefault="003E64D5" w:rsidP="000C3226">
            <w:pPr>
              <w:pStyle w:val="TableParagraph"/>
              <w:ind w:left="108"/>
              <w:rPr>
                <w:rFonts w:ascii="Arial" w:eastAsia="Arial" w:hAnsi="Arial" w:cs="Arial"/>
                <w:color w:val="AB054C"/>
                <w:sz w:val="20"/>
                <w:szCs w:val="20"/>
                <w:u w:val="single"/>
              </w:rPr>
            </w:pPr>
            <w:hyperlink r:id="rId38">
              <w:r w:rsidR="000C3226" w:rsidRPr="00824FA6">
                <w:rPr>
                  <w:rFonts w:ascii="Arial" w:hAnsi="Arial" w:cs="Arial"/>
                  <w:color w:val="AB054C"/>
                  <w:sz w:val="20"/>
                  <w:u w:val="single"/>
                </w:rPr>
                <w:t>www.youtube.com/QueenslandPolice</w:t>
              </w:r>
            </w:hyperlink>
          </w:p>
        </w:tc>
      </w:tr>
      <w:tr w:rsidR="000C3226" w:rsidRPr="00341581" w:rsidTr="0084742D">
        <w:trPr>
          <w:trHeight w:val="168"/>
        </w:trPr>
        <w:tc>
          <w:tcPr>
            <w:tcW w:w="773" w:type="dxa"/>
            <w:tcBorders>
              <w:top w:val="nil"/>
              <w:left w:val="nil"/>
              <w:bottom w:val="nil"/>
              <w:right w:val="nil"/>
            </w:tcBorders>
            <w:vAlign w:val="center"/>
          </w:tcPr>
          <w:p w:rsidR="000C3226" w:rsidRPr="00341581" w:rsidRDefault="000C3226" w:rsidP="000C3226">
            <w:pPr>
              <w:spacing w:before="0" w:after="0"/>
              <w:jc w:val="center"/>
            </w:pPr>
            <w:r w:rsidRPr="00341581">
              <w:rPr>
                <w:rFonts w:eastAsia="Arial"/>
                <w:noProof/>
                <w:position w:val="-8"/>
                <w:lang w:val="en-AU" w:eastAsia="en-AU"/>
              </w:rPr>
              <w:drawing>
                <wp:inline distT="0" distB="0" distL="0" distR="0" wp14:anchorId="692C657F" wp14:editId="673EA422">
                  <wp:extent cx="266700" cy="28575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c>
          <w:tcPr>
            <w:tcW w:w="4544" w:type="dxa"/>
            <w:tcBorders>
              <w:top w:val="nil"/>
              <w:left w:val="nil"/>
              <w:bottom w:val="nil"/>
              <w:right w:val="nil"/>
            </w:tcBorders>
            <w:vAlign w:val="center"/>
          </w:tcPr>
          <w:p w:rsidR="000C3226" w:rsidRPr="00824FA6" w:rsidRDefault="003E64D5" w:rsidP="000C3226">
            <w:pPr>
              <w:pStyle w:val="TableParagraph"/>
              <w:ind w:left="110"/>
              <w:rPr>
                <w:rFonts w:ascii="Arial" w:eastAsia="Arial" w:hAnsi="Arial" w:cs="Arial"/>
                <w:color w:val="AB054C"/>
                <w:sz w:val="20"/>
                <w:szCs w:val="20"/>
                <w:u w:val="single"/>
              </w:rPr>
            </w:pPr>
            <w:hyperlink r:id="rId39">
              <w:r w:rsidR="000C3226" w:rsidRPr="00824FA6">
                <w:rPr>
                  <w:rFonts w:ascii="Arial" w:hAnsi="Arial" w:cs="Arial"/>
                  <w:color w:val="AB054C"/>
                  <w:sz w:val="20"/>
                  <w:u w:val="single"/>
                </w:rPr>
                <w:t>www.facebook.com/QueenslandPolice</w:t>
              </w:r>
            </w:hyperlink>
          </w:p>
        </w:tc>
        <w:tc>
          <w:tcPr>
            <w:tcW w:w="874" w:type="dxa"/>
            <w:tcBorders>
              <w:top w:val="nil"/>
              <w:left w:val="nil"/>
              <w:bottom w:val="nil"/>
              <w:right w:val="nil"/>
            </w:tcBorders>
            <w:vAlign w:val="center"/>
          </w:tcPr>
          <w:p w:rsidR="000C3226" w:rsidRPr="00341581" w:rsidRDefault="000C3226" w:rsidP="000C3226">
            <w:pPr>
              <w:spacing w:before="0" w:after="0"/>
              <w:jc w:val="center"/>
            </w:pPr>
            <w:r w:rsidRPr="00341581">
              <w:rPr>
                <w:noProof/>
                <w:lang w:val="en-AU" w:eastAsia="en-AU"/>
              </w:rPr>
              <w:drawing>
                <wp:inline distT="0" distB="0" distL="0" distR="0" wp14:anchorId="692B94E0" wp14:editId="47FB3E20">
                  <wp:extent cx="27622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3800" w:type="dxa"/>
            <w:tcBorders>
              <w:top w:val="nil"/>
              <w:left w:val="nil"/>
              <w:bottom w:val="nil"/>
              <w:right w:val="nil"/>
            </w:tcBorders>
            <w:vAlign w:val="center"/>
          </w:tcPr>
          <w:p w:rsidR="000C3226" w:rsidRPr="00824FA6" w:rsidRDefault="003E64D5" w:rsidP="000C3226">
            <w:pPr>
              <w:pStyle w:val="TableParagraph"/>
              <w:ind w:left="108"/>
              <w:rPr>
                <w:rFonts w:ascii="Arial" w:eastAsia="Arial" w:hAnsi="Arial" w:cs="Arial"/>
                <w:color w:val="AB054C"/>
                <w:sz w:val="20"/>
                <w:szCs w:val="20"/>
                <w:u w:val="single"/>
              </w:rPr>
            </w:pPr>
            <w:hyperlink r:id="rId40">
              <w:r w:rsidR="00F936BC">
                <w:rPr>
                  <w:rFonts w:ascii="Arial" w:hAnsi="Arial" w:cs="Arial"/>
                  <w:color w:val="AB054C"/>
                  <w:sz w:val="20"/>
                  <w:u w:val="single"/>
                </w:rPr>
                <w:t>www.instagram.com/qpsmedia</w:t>
              </w:r>
            </w:hyperlink>
          </w:p>
        </w:tc>
      </w:tr>
      <w:tr w:rsidR="000C3226" w:rsidRPr="00341581" w:rsidTr="0084742D">
        <w:trPr>
          <w:trHeight w:val="168"/>
        </w:trPr>
        <w:tc>
          <w:tcPr>
            <w:tcW w:w="773" w:type="dxa"/>
            <w:tcBorders>
              <w:top w:val="nil"/>
              <w:left w:val="nil"/>
              <w:bottom w:val="nil"/>
              <w:right w:val="nil"/>
            </w:tcBorders>
            <w:vAlign w:val="center"/>
          </w:tcPr>
          <w:p w:rsidR="000C3226" w:rsidRPr="00341581" w:rsidRDefault="000C3226" w:rsidP="000C3226">
            <w:pPr>
              <w:spacing w:before="0" w:after="0"/>
              <w:jc w:val="center"/>
            </w:pPr>
            <w:r w:rsidRPr="00341581">
              <w:rPr>
                <w:noProof/>
                <w:lang w:val="en-AU" w:eastAsia="en-AU"/>
              </w:rPr>
              <w:drawing>
                <wp:inline distT="0" distB="0" distL="0" distR="0" wp14:anchorId="0C8B28EC" wp14:editId="51AD8A4C">
                  <wp:extent cx="27622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tc>
        <w:tc>
          <w:tcPr>
            <w:tcW w:w="4544" w:type="dxa"/>
            <w:tcBorders>
              <w:top w:val="nil"/>
              <w:left w:val="nil"/>
              <w:bottom w:val="nil"/>
              <w:right w:val="nil"/>
            </w:tcBorders>
            <w:vAlign w:val="center"/>
          </w:tcPr>
          <w:p w:rsidR="000C3226" w:rsidRPr="00824FA6" w:rsidRDefault="003E64D5" w:rsidP="000C3226">
            <w:pPr>
              <w:pStyle w:val="TableParagraph"/>
              <w:ind w:left="110"/>
              <w:rPr>
                <w:rFonts w:ascii="Arial" w:eastAsia="Arial" w:hAnsi="Arial" w:cs="Arial"/>
                <w:color w:val="AB054C"/>
                <w:sz w:val="20"/>
                <w:szCs w:val="20"/>
                <w:u w:val="single"/>
              </w:rPr>
            </w:pPr>
            <w:hyperlink r:id="rId41">
              <w:r w:rsidR="000C3226" w:rsidRPr="00824FA6">
                <w:rPr>
                  <w:rFonts w:ascii="Arial" w:hAnsi="Arial" w:cs="Arial"/>
                  <w:color w:val="AB054C"/>
                  <w:sz w:val="20"/>
                  <w:u w:val="single"/>
                </w:rPr>
                <w:t>www.twitter.com/QPSmedia</w:t>
              </w:r>
            </w:hyperlink>
          </w:p>
        </w:tc>
        <w:tc>
          <w:tcPr>
            <w:tcW w:w="874" w:type="dxa"/>
            <w:tcBorders>
              <w:top w:val="nil"/>
              <w:left w:val="nil"/>
              <w:bottom w:val="nil"/>
              <w:right w:val="nil"/>
            </w:tcBorders>
            <w:vAlign w:val="center"/>
          </w:tcPr>
          <w:p w:rsidR="000C3226" w:rsidRPr="00341581" w:rsidRDefault="000C3226" w:rsidP="000C3226">
            <w:pPr>
              <w:spacing w:before="0" w:after="0"/>
              <w:jc w:val="center"/>
            </w:pPr>
            <w:r w:rsidRPr="00341581">
              <w:rPr>
                <w:noProof/>
                <w:lang w:val="en-AU" w:eastAsia="en-AU"/>
              </w:rPr>
              <w:drawing>
                <wp:inline distT="0" distB="0" distL="0" distR="0" wp14:anchorId="099F7807" wp14:editId="45CC6608">
                  <wp:extent cx="27622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p>
        </w:tc>
        <w:tc>
          <w:tcPr>
            <w:tcW w:w="3800" w:type="dxa"/>
            <w:tcBorders>
              <w:top w:val="nil"/>
              <w:left w:val="nil"/>
              <w:bottom w:val="nil"/>
              <w:right w:val="nil"/>
            </w:tcBorders>
            <w:vAlign w:val="center"/>
          </w:tcPr>
          <w:p w:rsidR="000C3226" w:rsidRPr="00824FA6" w:rsidRDefault="003E64D5" w:rsidP="000C3226">
            <w:pPr>
              <w:pStyle w:val="TableParagraph"/>
              <w:ind w:left="108"/>
              <w:rPr>
                <w:rFonts w:ascii="Arial" w:eastAsia="Arial" w:hAnsi="Arial" w:cs="Arial"/>
                <w:color w:val="AB054C"/>
                <w:sz w:val="20"/>
                <w:szCs w:val="20"/>
                <w:u w:val="single"/>
              </w:rPr>
            </w:pPr>
            <w:hyperlink r:id="rId43">
              <w:r w:rsidR="0013086B">
                <w:rPr>
                  <w:rFonts w:ascii="Arial" w:hAnsi="Arial" w:cs="Arial"/>
                  <w:color w:val="AB054C"/>
                  <w:sz w:val="20"/>
                  <w:u w:val="single"/>
                </w:rPr>
                <w:t>www.pinterest.com/qldpolice/</w:t>
              </w:r>
            </w:hyperlink>
          </w:p>
        </w:tc>
      </w:tr>
    </w:tbl>
    <w:p w:rsidR="000E59B7" w:rsidRPr="00341581" w:rsidRDefault="000E59B7" w:rsidP="000E59B7">
      <w:pPr>
        <w:ind w:left="567" w:firstLine="567"/>
        <w:rPr>
          <w:bCs/>
        </w:rPr>
        <w:sectPr w:rsidR="000E59B7" w:rsidRPr="00341581" w:rsidSect="00504EDD">
          <w:type w:val="continuous"/>
          <w:pgSz w:w="11906" w:h="16838" w:code="9"/>
          <w:pgMar w:top="720" w:right="851" w:bottom="720" w:left="1134" w:header="567" w:footer="567" w:gutter="0"/>
          <w:pgNumType w:fmt="lowerRoman" w:start="1"/>
          <w:cols w:num="2" w:space="709"/>
          <w:titlePg/>
          <w:docGrid w:linePitch="360"/>
        </w:sectPr>
      </w:pPr>
    </w:p>
    <w:p w:rsidR="000E59B7" w:rsidRPr="006E1C5C" w:rsidRDefault="00677D61" w:rsidP="00C60996">
      <w:pPr>
        <w:pStyle w:val="Heading2"/>
      </w:pPr>
      <w:bookmarkStart w:id="1" w:name="_Toc415049790"/>
      <w:bookmarkStart w:id="2" w:name="_Toc415050342"/>
      <w:bookmarkStart w:id="3" w:name="_Toc441671793"/>
      <w:bookmarkStart w:id="4" w:name="_Toc441672081"/>
      <w:bookmarkStart w:id="5" w:name="_Toc442168869"/>
      <w:bookmarkStart w:id="6" w:name="_Toc460406665"/>
      <w:bookmarkStart w:id="7" w:name="_Toc460406815"/>
      <w:bookmarkStart w:id="8" w:name="_Toc460406851"/>
      <w:bookmarkStart w:id="9" w:name="_Toc460406930"/>
      <w:bookmarkStart w:id="10" w:name="_Toc460407044"/>
      <w:bookmarkStart w:id="11" w:name="_Toc460487947"/>
      <w:r w:rsidRPr="006E1C5C">
        <w:lastRenderedPageBreak/>
        <w:t xml:space="preserve">Letter </w:t>
      </w:r>
      <w:r w:rsidR="00883274" w:rsidRPr="006E1C5C">
        <w:t>o</w:t>
      </w:r>
      <w:r w:rsidRPr="006E1C5C">
        <w:t xml:space="preserve">f </w:t>
      </w:r>
      <w:r w:rsidR="00883274" w:rsidRPr="006E1C5C">
        <w:t>c</w:t>
      </w:r>
      <w:r w:rsidR="000E59B7" w:rsidRPr="006E1C5C">
        <w:t>ompliance</w:t>
      </w:r>
      <w:bookmarkEnd w:id="1"/>
      <w:bookmarkEnd w:id="2"/>
      <w:bookmarkEnd w:id="3"/>
      <w:bookmarkEnd w:id="4"/>
      <w:bookmarkEnd w:id="5"/>
      <w:bookmarkEnd w:id="6"/>
      <w:bookmarkEnd w:id="7"/>
      <w:bookmarkEnd w:id="8"/>
      <w:bookmarkEnd w:id="9"/>
      <w:bookmarkEnd w:id="10"/>
      <w:bookmarkEnd w:id="11"/>
      <w:r w:rsidR="000E59B7" w:rsidRPr="006E1C5C">
        <w:t xml:space="preserve"> </w:t>
      </w:r>
    </w:p>
    <w:p w:rsidR="005920B4" w:rsidRDefault="005920B4" w:rsidP="00273946">
      <w:pPr>
        <w:tabs>
          <w:tab w:val="left" w:pos="0"/>
        </w:tabs>
        <w:ind w:left="-142"/>
        <w:sectPr w:rsidR="005920B4" w:rsidSect="00504EDD">
          <w:headerReference w:type="even" r:id="rId44"/>
          <w:headerReference w:type="default" r:id="rId45"/>
          <w:footerReference w:type="default" r:id="rId46"/>
          <w:headerReference w:type="first" r:id="rId47"/>
          <w:pgSz w:w="12240" w:h="15840" w:code="1"/>
          <w:pgMar w:top="720" w:right="964" w:bottom="720" w:left="1134" w:header="567" w:footer="567" w:gutter="0"/>
          <w:pgNumType w:fmt="lowerRoman" w:start="2"/>
          <w:cols w:space="720"/>
          <w:docGrid w:linePitch="360"/>
        </w:sectPr>
      </w:pPr>
      <w:r>
        <w:rPr>
          <w:noProof/>
          <w:lang w:val="en-AU" w:eastAsia="en-AU"/>
        </w:rPr>
        <w:drawing>
          <wp:inline distT="0" distB="0" distL="0" distR="0" wp14:anchorId="4D73114E" wp14:editId="526BB35A">
            <wp:extent cx="5695950" cy="8059808"/>
            <wp:effectExtent l="57150" t="57150" r="114300" b="1130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letter.png"/>
                    <pic:cNvPicPr/>
                  </pic:nvPicPr>
                  <pic:blipFill>
                    <a:blip r:embed="rId48">
                      <a:extLst>
                        <a:ext uri="{28A0092B-C50C-407E-A947-70E740481C1C}">
                          <a14:useLocalDpi xmlns:a14="http://schemas.microsoft.com/office/drawing/2010/main" val="0"/>
                        </a:ext>
                      </a:extLst>
                    </a:blip>
                    <a:stretch>
                      <a:fillRect/>
                    </a:stretch>
                  </pic:blipFill>
                  <pic:spPr>
                    <a:xfrm>
                      <a:off x="0" y="0"/>
                      <a:ext cx="5696083" cy="8059996"/>
                    </a:xfrm>
                    <a:prstGeom prst="rect">
                      <a:avLst/>
                    </a:prstGeom>
                    <a:ln>
                      <a:solidFill>
                        <a:srgbClr val="8A002E">
                          <a:alpha val="20000"/>
                        </a:srgbClr>
                      </a:solidFill>
                    </a:ln>
                    <a:effectLst>
                      <a:outerShdw blurRad="50800" dist="38100" dir="2700000" algn="ctr" rotWithShape="0">
                        <a:srgbClr val="AB054C">
                          <a:alpha val="40000"/>
                        </a:srgbClr>
                      </a:outerShdw>
                    </a:effectLst>
                  </pic:spPr>
                </pic:pic>
              </a:graphicData>
            </a:graphic>
          </wp:inline>
        </w:drawing>
      </w:r>
    </w:p>
    <w:p w:rsidR="00F338E8" w:rsidRPr="001D617A" w:rsidRDefault="00F338E8" w:rsidP="00D77F80">
      <w:pPr>
        <w:pStyle w:val="Heading1"/>
        <w:ind w:left="0" w:right="77"/>
      </w:pPr>
      <w:bookmarkStart w:id="12" w:name="_Toc460406666"/>
      <w:bookmarkStart w:id="13" w:name="_Toc460406816"/>
      <w:bookmarkStart w:id="14" w:name="_Toc460406852"/>
      <w:bookmarkStart w:id="15" w:name="_Toc460406931"/>
      <w:bookmarkStart w:id="16" w:name="_Toc460407045"/>
      <w:bookmarkStart w:id="17" w:name="_Toc460487948"/>
      <w:r w:rsidRPr="001D617A">
        <w:lastRenderedPageBreak/>
        <w:t xml:space="preserve">Table of </w:t>
      </w:r>
      <w:r w:rsidR="00D92C5C" w:rsidRPr="001D617A">
        <w:t>c</w:t>
      </w:r>
      <w:r w:rsidRPr="001D617A">
        <w:t>ontents</w:t>
      </w:r>
      <w:bookmarkEnd w:id="12"/>
      <w:bookmarkEnd w:id="13"/>
      <w:bookmarkEnd w:id="14"/>
      <w:bookmarkEnd w:id="15"/>
      <w:bookmarkEnd w:id="16"/>
      <w:bookmarkEnd w:id="17"/>
      <w:r w:rsidRPr="001D617A">
        <w:tab/>
      </w:r>
    </w:p>
    <w:p w:rsidR="004F00DC" w:rsidRDefault="0076456D" w:rsidP="005920B4">
      <w:pPr>
        <w:pStyle w:val="TOC2"/>
        <w:rPr>
          <w:rFonts w:asciiTheme="minorHAnsi" w:eastAsiaTheme="minorEastAsia" w:hAnsiTheme="minorHAnsi" w:cstheme="minorBidi"/>
          <w:kern w:val="0"/>
          <w:szCs w:val="22"/>
          <w:lang w:val="en-AU" w:eastAsia="en-AU"/>
        </w:rPr>
      </w:pPr>
      <w:r>
        <w:fldChar w:fldCharType="begin"/>
      </w:r>
      <w:r>
        <w:instrText xml:space="preserve"> TOC \o "1-2" \h \z \u </w:instrText>
      </w:r>
      <w:r>
        <w:fldChar w:fldCharType="separate"/>
      </w:r>
      <w:hyperlink w:anchor="_Toc460487947" w:history="1">
        <w:r w:rsidR="004F00DC" w:rsidRPr="00381EF0">
          <w:rPr>
            <w:rStyle w:val="Hyperlink"/>
          </w:rPr>
          <w:t>Letter of compliance</w:t>
        </w:r>
        <w:r w:rsidR="004F00DC">
          <w:rPr>
            <w:webHidden/>
          </w:rPr>
          <w:tab/>
        </w:r>
        <w:r w:rsidR="004F00DC">
          <w:rPr>
            <w:webHidden/>
          </w:rPr>
          <w:fldChar w:fldCharType="begin"/>
        </w:r>
        <w:r w:rsidR="004F00DC">
          <w:rPr>
            <w:webHidden/>
          </w:rPr>
          <w:instrText xml:space="preserve"> PAGEREF _Toc460487947 \h </w:instrText>
        </w:r>
        <w:r w:rsidR="004F00DC">
          <w:rPr>
            <w:webHidden/>
          </w:rPr>
        </w:r>
        <w:r w:rsidR="004F00DC">
          <w:rPr>
            <w:webHidden/>
          </w:rPr>
          <w:fldChar w:fldCharType="separate"/>
        </w:r>
        <w:r w:rsidR="003E64D5">
          <w:rPr>
            <w:webHidden/>
          </w:rPr>
          <w:t>ii</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48" w:history="1">
        <w:r w:rsidR="004F00DC" w:rsidRPr="00381EF0">
          <w:rPr>
            <w:rStyle w:val="Hyperlink"/>
            <w:noProof/>
          </w:rPr>
          <w:t>Table of contents</w:t>
        </w:r>
        <w:r w:rsidR="004F00DC">
          <w:rPr>
            <w:noProof/>
            <w:webHidden/>
          </w:rPr>
          <w:tab/>
        </w:r>
        <w:r w:rsidR="004F00DC">
          <w:rPr>
            <w:noProof/>
            <w:webHidden/>
          </w:rPr>
          <w:fldChar w:fldCharType="begin"/>
        </w:r>
        <w:r w:rsidR="004F00DC">
          <w:rPr>
            <w:noProof/>
            <w:webHidden/>
          </w:rPr>
          <w:instrText xml:space="preserve"> PAGEREF _Toc460487948 \h </w:instrText>
        </w:r>
        <w:r w:rsidR="004F00DC">
          <w:rPr>
            <w:noProof/>
            <w:webHidden/>
          </w:rPr>
        </w:r>
        <w:r w:rsidR="004F00DC">
          <w:rPr>
            <w:noProof/>
            <w:webHidden/>
          </w:rPr>
          <w:fldChar w:fldCharType="separate"/>
        </w:r>
        <w:r>
          <w:rPr>
            <w:noProof/>
            <w:webHidden/>
          </w:rPr>
          <w:t>1</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49" w:history="1">
        <w:r w:rsidR="004F00DC" w:rsidRPr="00381EF0">
          <w:rPr>
            <w:rStyle w:val="Hyperlink"/>
          </w:rPr>
          <w:t>Inspector-General’s message</w:t>
        </w:r>
        <w:r w:rsidR="004F00DC">
          <w:rPr>
            <w:webHidden/>
          </w:rPr>
          <w:tab/>
        </w:r>
        <w:r w:rsidR="004F00DC">
          <w:rPr>
            <w:webHidden/>
          </w:rPr>
          <w:fldChar w:fldCharType="begin"/>
        </w:r>
        <w:r w:rsidR="004F00DC">
          <w:rPr>
            <w:webHidden/>
          </w:rPr>
          <w:instrText xml:space="preserve"> PAGEREF _Toc460487949 \h </w:instrText>
        </w:r>
        <w:r w:rsidR="004F00DC">
          <w:rPr>
            <w:webHidden/>
          </w:rPr>
        </w:r>
        <w:r w:rsidR="004F00DC">
          <w:rPr>
            <w:webHidden/>
          </w:rPr>
          <w:fldChar w:fldCharType="separate"/>
        </w:r>
        <w:r>
          <w:rPr>
            <w:webHidden/>
          </w:rPr>
          <w:t>2</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50" w:history="1">
        <w:r w:rsidR="004F00DC" w:rsidRPr="00381EF0">
          <w:rPr>
            <w:rStyle w:val="Hyperlink"/>
            <w:noProof/>
          </w:rPr>
          <w:t>Overview</w:t>
        </w:r>
        <w:r w:rsidR="004F00DC">
          <w:rPr>
            <w:noProof/>
            <w:webHidden/>
          </w:rPr>
          <w:tab/>
        </w:r>
        <w:r w:rsidR="004F00DC">
          <w:rPr>
            <w:noProof/>
            <w:webHidden/>
          </w:rPr>
          <w:fldChar w:fldCharType="begin"/>
        </w:r>
        <w:r w:rsidR="004F00DC">
          <w:rPr>
            <w:noProof/>
            <w:webHidden/>
          </w:rPr>
          <w:instrText xml:space="preserve"> PAGEREF _Toc460487950 \h </w:instrText>
        </w:r>
        <w:r w:rsidR="004F00DC">
          <w:rPr>
            <w:noProof/>
            <w:webHidden/>
          </w:rPr>
        </w:r>
        <w:r w:rsidR="004F00DC">
          <w:rPr>
            <w:noProof/>
            <w:webHidden/>
          </w:rPr>
          <w:fldChar w:fldCharType="separate"/>
        </w:r>
        <w:r>
          <w:rPr>
            <w:noProof/>
            <w:webHidden/>
          </w:rPr>
          <w:t>4</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1" w:history="1">
        <w:r w:rsidR="004F00DC" w:rsidRPr="00381EF0">
          <w:rPr>
            <w:rStyle w:val="Hyperlink"/>
          </w:rPr>
          <w:t>Public safety portfolio overview</w:t>
        </w:r>
        <w:r w:rsidR="004F00DC">
          <w:rPr>
            <w:webHidden/>
          </w:rPr>
          <w:tab/>
        </w:r>
        <w:r w:rsidR="004F00DC">
          <w:rPr>
            <w:webHidden/>
          </w:rPr>
          <w:fldChar w:fldCharType="begin"/>
        </w:r>
        <w:r w:rsidR="004F00DC">
          <w:rPr>
            <w:webHidden/>
          </w:rPr>
          <w:instrText xml:space="preserve"> PAGEREF _Toc460487951 \h </w:instrText>
        </w:r>
        <w:r w:rsidR="004F00DC">
          <w:rPr>
            <w:webHidden/>
          </w:rPr>
        </w:r>
        <w:r w:rsidR="004F00DC">
          <w:rPr>
            <w:webHidden/>
          </w:rPr>
          <w:fldChar w:fldCharType="separate"/>
        </w:r>
        <w:r>
          <w:rPr>
            <w:webHidden/>
          </w:rPr>
          <w:t>4</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2" w:history="1">
        <w:r w:rsidR="004F00DC" w:rsidRPr="00381EF0">
          <w:rPr>
            <w:rStyle w:val="Hyperlink"/>
          </w:rPr>
          <w:t>Legislation administered by the portfolio</w:t>
        </w:r>
        <w:r w:rsidR="004F00DC">
          <w:rPr>
            <w:webHidden/>
          </w:rPr>
          <w:tab/>
        </w:r>
        <w:r w:rsidR="004F00DC">
          <w:rPr>
            <w:webHidden/>
          </w:rPr>
          <w:fldChar w:fldCharType="begin"/>
        </w:r>
        <w:r w:rsidR="004F00DC">
          <w:rPr>
            <w:webHidden/>
          </w:rPr>
          <w:instrText xml:space="preserve"> PAGEREF _Toc460487952 \h </w:instrText>
        </w:r>
        <w:r w:rsidR="004F00DC">
          <w:rPr>
            <w:webHidden/>
          </w:rPr>
        </w:r>
        <w:r w:rsidR="004F00DC">
          <w:rPr>
            <w:webHidden/>
          </w:rPr>
          <w:fldChar w:fldCharType="separate"/>
        </w:r>
        <w:r>
          <w:rPr>
            <w:webHidden/>
          </w:rPr>
          <w:t>7</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3" w:history="1">
        <w:r w:rsidR="004F00DC" w:rsidRPr="00381EF0">
          <w:rPr>
            <w:rStyle w:val="Hyperlink"/>
          </w:rPr>
          <w:t>Machinery-of-government changes</w:t>
        </w:r>
        <w:r w:rsidR="004F00DC">
          <w:rPr>
            <w:webHidden/>
          </w:rPr>
          <w:tab/>
        </w:r>
        <w:r w:rsidR="004F00DC">
          <w:rPr>
            <w:webHidden/>
          </w:rPr>
          <w:fldChar w:fldCharType="begin"/>
        </w:r>
        <w:r w:rsidR="004F00DC">
          <w:rPr>
            <w:webHidden/>
          </w:rPr>
          <w:instrText xml:space="preserve"> PAGEREF _Toc460487953 \h </w:instrText>
        </w:r>
        <w:r w:rsidR="004F00DC">
          <w:rPr>
            <w:webHidden/>
          </w:rPr>
        </w:r>
        <w:r w:rsidR="004F00DC">
          <w:rPr>
            <w:webHidden/>
          </w:rPr>
          <w:fldChar w:fldCharType="separate"/>
        </w:r>
        <w:r>
          <w:rPr>
            <w:webHidden/>
          </w:rPr>
          <w:t>8</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4" w:history="1">
        <w:r w:rsidR="004F00DC" w:rsidRPr="00381EF0">
          <w:rPr>
            <w:rStyle w:val="Hyperlink"/>
          </w:rPr>
          <w:t>Public safety portfolio committee</w:t>
        </w:r>
        <w:r w:rsidR="004F00DC">
          <w:rPr>
            <w:webHidden/>
          </w:rPr>
          <w:tab/>
        </w:r>
        <w:r w:rsidR="004F00DC">
          <w:rPr>
            <w:webHidden/>
          </w:rPr>
          <w:fldChar w:fldCharType="begin"/>
        </w:r>
        <w:r w:rsidR="004F00DC">
          <w:rPr>
            <w:webHidden/>
          </w:rPr>
          <w:instrText xml:space="preserve"> PAGEREF _Toc460487954 \h </w:instrText>
        </w:r>
        <w:r w:rsidR="004F00DC">
          <w:rPr>
            <w:webHidden/>
          </w:rPr>
        </w:r>
        <w:r w:rsidR="004F00DC">
          <w:rPr>
            <w:webHidden/>
          </w:rPr>
          <w:fldChar w:fldCharType="separate"/>
        </w:r>
        <w:r>
          <w:rPr>
            <w:webHidden/>
          </w:rPr>
          <w:t>9</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5" w:history="1">
        <w:r w:rsidR="004F00DC" w:rsidRPr="00381EF0">
          <w:rPr>
            <w:rStyle w:val="Hyperlink"/>
          </w:rPr>
          <w:t>About us</w:t>
        </w:r>
        <w:r w:rsidR="004F00DC">
          <w:rPr>
            <w:webHidden/>
          </w:rPr>
          <w:tab/>
        </w:r>
        <w:r w:rsidR="004F00DC">
          <w:rPr>
            <w:webHidden/>
          </w:rPr>
          <w:fldChar w:fldCharType="begin"/>
        </w:r>
        <w:r w:rsidR="004F00DC">
          <w:rPr>
            <w:webHidden/>
          </w:rPr>
          <w:instrText xml:space="preserve"> PAGEREF _Toc460487955 \h </w:instrText>
        </w:r>
        <w:r w:rsidR="004F00DC">
          <w:rPr>
            <w:webHidden/>
          </w:rPr>
        </w:r>
        <w:r w:rsidR="004F00DC">
          <w:rPr>
            <w:webHidden/>
          </w:rPr>
          <w:fldChar w:fldCharType="separate"/>
        </w:r>
        <w:r>
          <w:rPr>
            <w:webHidden/>
          </w:rPr>
          <w:t>11</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6" w:history="1">
        <w:r w:rsidR="004F00DC" w:rsidRPr="00381EF0">
          <w:rPr>
            <w:rStyle w:val="Hyperlink"/>
          </w:rPr>
          <w:t>Organisation structure</w:t>
        </w:r>
        <w:r w:rsidR="004F00DC">
          <w:rPr>
            <w:webHidden/>
          </w:rPr>
          <w:tab/>
        </w:r>
        <w:r w:rsidR="004F00DC">
          <w:rPr>
            <w:webHidden/>
          </w:rPr>
          <w:fldChar w:fldCharType="begin"/>
        </w:r>
        <w:r w:rsidR="004F00DC">
          <w:rPr>
            <w:webHidden/>
          </w:rPr>
          <w:instrText xml:space="preserve"> PAGEREF _Toc460487956 \h </w:instrText>
        </w:r>
        <w:r w:rsidR="004F00DC">
          <w:rPr>
            <w:webHidden/>
          </w:rPr>
        </w:r>
        <w:r w:rsidR="004F00DC">
          <w:rPr>
            <w:webHidden/>
          </w:rPr>
          <w:fldChar w:fldCharType="separate"/>
        </w:r>
        <w:r>
          <w:rPr>
            <w:webHidden/>
          </w:rPr>
          <w:t>17</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57" w:history="1">
        <w:r w:rsidR="004F00DC" w:rsidRPr="00381EF0">
          <w:rPr>
            <w:rStyle w:val="Hyperlink"/>
            <w:noProof/>
          </w:rPr>
          <w:t>Financial summary</w:t>
        </w:r>
        <w:r w:rsidR="004F00DC">
          <w:rPr>
            <w:noProof/>
            <w:webHidden/>
          </w:rPr>
          <w:tab/>
        </w:r>
        <w:r w:rsidR="004F00DC">
          <w:rPr>
            <w:noProof/>
            <w:webHidden/>
          </w:rPr>
          <w:fldChar w:fldCharType="begin"/>
        </w:r>
        <w:r w:rsidR="004F00DC">
          <w:rPr>
            <w:noProof/>
            <w:webHidden/>
          </w:rPr>
          <w:instrText xml:space="preserve"> PAGEREF _Toc460487957 \h </w:instrText>
        </w:r>
        <w:r w:rsidR="004F00DC">
          <w:rPr>
            <w:noProof/>
            <w:webHidden/>
          </w:rPr>
        </w:r>
        <w:r w:rsidR="004F00DC">
          <w:rPr>
            <w:noProof/>
            <w:webHidden/>
          </w:rPr>
          <w:fldChar w:fldCharType="separate"/>
        </w:r>
        <w:r>
          <w:rPr>
            <w:noProof/>
            <w:webHidden/>
          </w:rPr>
          <w:t>18</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8" w:history="1">
        <w:r w:rsidR="004F00DC" w:rsidRPr="00381EF0">
          <w:rPr>
            <w:rStyle w:val="Hyperlink"/>
          </w:rPr>
          <w:t>Summary of financial performance</w:t>
        </w:r>
        <w:r w:rsidR="004F00DC">
          <w:rPr>
            <w:webHidden/>
          </w:rPr>
          <w:tab/>
        </w:r>
        <w:r w:rsidR="004F00DC">
          <w:rPr>
            <w:webHidden/>
          </w:rPr>
          <w:fldChar w:fldCharType="begin"/>
        </w:r>
        <w:r w:rsidR="004F00DC">
          <w:rPr>
            <w:webHidden/>
          </w:rPr>
          <w:instrText xml:space="preserve"> PAGEREF _Toc460487958 \h </w:instrText>
        </w:r>
        <w:r w:rsidR="004F00DC">
          <w:rPr>
            <w:webHidden/>
          </w:rPr>
        </w:r>
        <w:r w:rsidR="004F00DC">
          <w:rPr>
            <w:webHidden/>
          </w:rPr>
          <w:fldChar w:fldCharType="separate"/>
        </w:r>
        <w:r>
          <w:rPr>
            <w:webHidden/>
          </w:rPr>
          <w:t>18</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59" w:history="1">
        <w:r w:rsidR="004F00DC" w:rsidRPr="00381EF0">
          <w:rPr>
            <w:rStyle w:val="Hyperlink"/>
          </w:rPr>
          <w:t>Summary of financial position</w:t>
        </w:r>
        <w:r w:rsidR="004F00DC">
          <w:rPr>
            <w:webHidden/>
          </w:rPr>
          <w:tab/>
        </w:r>
        <w:r w:rsidR="004F00DC">
          <w:rPr>
            <w:webHidden/>
          </w:rPr>
          <w:fldChar w:fldCharType="begin"/>
        </w:r>
        <w:r w:rsidR="004F00DC">
          <w:rPr>
            <w:webHidden/>
          </w:rPr>
          <w:instrText xml:space="preserve"> PAGEREF _Toc460487959 \h </w:instrText>
        </w:r>
        <w:r w:rsidR="004F00DC">
          <w:rPr>
            <w:webHidden/>
          </w:rPr>
        </w:r>
        <w:r w:rsidR="004F00DC">
          <w:rPr>
            <w:webHidden/>
          </w:rPr>
          <w:fldChar w:fldCharType="separate"/>
        </w:r>
        <w:r>
          <w:rPr>
            <w:webHidden/>
          </w:rPr>
          <w:t>19</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60" w:history="1">
        <w:r w:rsidR="004F00DC" w:rsidRPr="00381EF0">
          <w:rPr>
            <w:rStyle w:val="Hyperlink"/>
            <w:noProof/>
          </w:rPr>
          <w:t>Performance</w:t>
        </w:r>
        <w:r w:rsidR="004F00DC">
          <w:rPr>
            <w:noProof/>
            <w:webHidden/>
          </w:rPr>
          <w:tab/>
        </w:r>
        <w:r w:rsidR="004F00DC">
          <w:rPr>
            <w:noProof/>
            <w:webHidden/>
          </w:rPr>
          <w:fldChar w:fldCharType="begin"/>
        </w:r>
        <w:r w:rsidR="004F00DC">
          <w:rPr>
            <w:noProof/>
            <w:webHidden/>
          </w:rPr>
          <w:instrText xml:space="preserve"> PAGEREF _Toc460487960 \h </w:instrText>
        </w:r>
        <w:r w:rsidR="004F00DC">
          <w:rPr>
            <w:noProof/>
            <w:webHidden/>
          </w:rPr>
        </w:r>
        <w:r w:rsidR="004F00DC">
          <w:rPr>
            <w:noProof/>
            <w:webHidden/>
          </w:rPr>
          <w:fldChar w:fldCharType="separate"/>
        </w:r>
        <w:r>
          <w:rPr>
            <w:noProof/>
            <w:webHidden/>
          </w:rPr>
          <w:t>20</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1" w:history="1">
        <w:r w:rsidR="004F00DC" w:rsidRPr="00381EF0">
          <w:rPr>
            <w:rStyle w:val="Hyperlink"/>
          </w:rPr>
          <w:t>Key performance measures</w:t>
        </w:r>
        <w:r w:rsidR="004F00DC">
          <w:rPr>
            <w:webHidden/>
          </w:rPr>
          <w:tab/>
        </w:r>
        <w:r w:rsidR="004F00DC">
          <w:rPr>
            <w:webHidden/>
          </w:rPr>
          <w:fldChar w:fldCharType="begin"/>
        </w:r>
        <w:r w:rsidR="004F00DC">
          <w:rPr>
            <w:webHidden/>
          </w:rPr>
          <w:instrText xml:space="preserve"> PAGEREF _Toc460487961 \h </w:instrText>
        </w:r>
        <w:r w:rsidR="004F00DC">
          <w:rPr>
            <w:webHidden/>
          </w:rPr>
        </w:r>
        <w:r w:rsidR="004F00DC">
          <w:rPr>
            <w:webHidden/>
          </w:rPr>
          <w:fldChar w:fldCharType="separate"/>
        </w:r>
        <w:r>
          <w:rPr>
            <w:webHidden/>
          </w:rPr>
          <w:t>20</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2" w:history="1">
        <w:r w:rsidR="004F00DC" w:rsidRPr="00381EF0">
          <w:rPr>
            <w:rStyle w:val="Hyperlink"/>
          </w:rPr>
          <w:t>2015-16 Highlights</w:t>
        </w:r>
        <w:r w:rsidR="004F00DC">
          <w:rPr>
            <w:webHidden/>
          </w:rPr>
          <w:tab/>
        </w:r>
        <w:r w:rsidR="004F00DC">
          <w:rPr>
            <w:webHidden/>
          </w:rPr>
          <w:fldChar w:fldCharType="begin"/>
        </w:r>
        <w:r w:rsidR="004F00DC">
          <w:rPr>
            <w:webHidden/>
          </w:rPr>
          <w:instrText xml:space="preserve"> PAGEREF _Toc460487962 \h </w:instrText>
        </w:r>
        <w:r w:rsidR="004F00DC">
          <w:rPr>
            <w:webHidden/>
          </w:rPr>
        </w:r>
        <w:r w:rsidR="004F00DC">
          <w:rPr>
            <w:webHidden/>
          </w:rPr>
          <w:fldChar w:fldCharType="separate"/>
        </w:r>
        <w:r>
          <w:rPr>
            <w:webHidden/>
          </w:rPr>
          <w:t>21</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63" w:history="1">
        <w:r w:rsidR="004F00DC" w:rsidRPr="00381EF0">
          <w:rPr>
            <w:rStyle w:val="Hyperlink"/>
            <w:noProof/>
          </w:rPr>
          <w:t>Governance</w:t>
        </w:r>
        <w:r w:rsidR="004F00DC">
          <w:rPr>
            <w:noProof/>
            <w:webHidden/>
          </w:rPr>
          <w:tab/>
        </w:r>
        <w:r w:rsidR="004F00DC">
          <w:rPr>
            <w:noProof/>
            <w:webHidden/>
          </w:rPr>
          <w:fldChar w:fldCharType="begin"/>
        </w:r>
        <w:r w:rsidR="004F00DC">
          <w:rPr>
            <w:noProof/>
            <w:webHidden/>
          </w:rPr>
          <w:instrText xml:space="preserve"> PAGEREF _Toc460487963 \h </w:instrText>
        </w:r>
        <w:r w:rsidR="004F00DC">
          <w:rPr>
            <w:noProof/>
            <w:webHidden/>
          </w:rPr>
        </w:r>
        <w:r w:rsidR="004F00DC">
          <w:rPr>
            <w:noProof/>
            <w:webHidden/>
          </w:rPr>
          <w:fldChar w:fldCharType="separate"/>
        </w:r>
        <w:r>
          <w:rPr>
            <w:noProof/>
            <w:webHidden/>
          </w:rPr>
          <w:t>32</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4" w:history="1">
        <w:r w:rsidR="004F00DC" w:rsidRPr="00381EF0">
          <w:rPr>
            <w:rStyle w:val="Hyperlink"/>
          </w:rPr>
          <w:t>Executive management</w:t>
        </w:r>
        <w:r w:rsidR="004F00DC">
          <w:rPr>
            <w:webHidden/>
          </w:rPr>
          <w:tab/>
        </w:r>
        <w:r w:rsidR="004F00DC">
          <w:rPr>
            <w:webHidden/>
          </w:rPr>
          <w:fldChar w:fldCharType="begin"/>
        </w:r>
        <w:r w:rsidR="004F00DC">
          <w:rPr>
            <w:webHidden/>
          </w:rPr>
          <w:instrText xml:space="preserve"> PAGEREF _Toc460487964 \h </w:instrText>
        </w:r>
        <w:r w:rsidR="004F00DC">
          <w:rPr>
            <w:webHidden/>
          </w:rPr>
        </w:r>
        <w:r w:rsidR="004F00DC">
          <w:rPr>
            <w:webHidden/>
          </w:rPr>
          <w:fldChar w:fldCharType="separate"/>
        </w:r>
        <w:r>
          <w:rPr>
            <w:webHidden/>
          </w:rPr>
          <w:t>32</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5" w:history="1">
        <w:r w:rsidR="004F00DC" w:rsidRPr="00381EF0">
          <w:rPr>
            <w:rStyle w:val="Hyperlink"/>
          </w:rPr>
          <w:t>Committees</w:t>
        </w:r>
        <w:r w:rsidR="004F00DC">
          <w:rPr>
            <w:webHidden/>
          </w:rPr>
          <w:tab/>
        </w:r>
        <w:r w:rsidR="004F00DC">
          <w:rPr>
            <w:webHidden/>
          </w:rPr>
          <w:fldChar w:fldCharType="begin"/>
        </w:r>
        <w:r w:rsidR="004F00DC">
          <w:rPr>
            <w:webHidden/>
          </w:rPr>
          <w:instrText xml:space="preserve"> PAGEREF _Toc460487965 \h </w:instrText>
        </w:r>
        <w:r w:rsidR="004F00DC">
          <w:rPr>
            <w:webHidden/>
          </w:rPr>
        </w:r>
        <w:r w:rsidR="004F00DC">
          <w:rPr>
            <w:webHidden/>
          </w:rPr>
          <w:fldChar w:fldCharType="separate"/>
        </w:r>
        <w:r>
          <w:rPr>
            <w:webHidden/>
          </w:rPr>
          <w:t>34</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6" w:history="1">
        <w:r w:rsidR="004F00DC" w:rsidRPr="00381EF0">
          <w:rPr>
            <w:rStyle w:val="Hyperlink"/>
          </w:rPr>
          <w:t>Ethics and code of conduct</w:t>
        </w:r>
        <w:r w:rsidR="004F00DC">
          <w:rPr>
            <w:webHidden/>
          </w:rPr>
          <w:tab/>
        </w:r>
        <w:r w:rsidR="004F00DC">
          <w:rPr>
            <w:webHidden/>
          </w:rPr>
          <w:fldChar w:fldCharType="begin"/>
        </w:r>
        <w:r w:rsidR="004F00DC">
          <w:rPr>
            <w:webHidden/>
          </w:rPr>
          <w:instrText xml:space="preserve"> PAGEREF _Toc460487966 \h </w:instrText>
        </w:r>
        <w:r w:rsidR="004F00DC">
          <w:rPr>
            <w:webHidden/>
          </w:rPr>
        </w:r>
        <w:r w:rsidR="004F00DC">
          <w:rPr>
            <w:webHidden/>
          </w:rPr>
          <w:fldChar w:fldCharType="separate"/>
        </w:r>
        <w:r>
          <w:rPr>
            <w:webHidden/>
          </w:rPr>
          <w:t>36</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7" w:history="1">
        <w:r w:rsidR="004F00DC" w:rsidRPr="00381EF0">
          <w:rPr>
            <w:rStyle w:val="Hyperlink"/>
          </w:rPr>
          <w:t>Risk management and accountability</w:t>
        </w:r>
        <w:r w:rsidR="004F00DC">
          <w:rPr>
            <w:webHidden/>
          </w:rPr>
          <w:tab/>
        </w:r>
        <w:r w:rsidR="004F00DC">
          <w:rPr>
            <w:webHidden/>
          </w:rPr>
          <w:fldChar w:fldCharType="begin"/>
        </w:r>
        <w:r w:rsidR="004F00DC">
          <w:rPr>
            <w:webHidden/>
          </w:rPr>
          <w:instrText xml:space="preserve"> PAGEREF _Toc460487967 \h </w:instrText>
        </w:r>
        <w:r w:rsidR="004F00DC">
          <w:rPr>
            <w:webHidden/>
          </w:rPr>
        </w:r>
        <w:r w:rsidR="004F00DC">
          <w:rPr>
            <w:webHidden/>
          </w:rPr>
          <w:fldChar w:fldCharType="separate"/>
        </w:r>
        <w:r>
          <w:rPr>
            <w:webHidden/>
          </w:rPr>
          <w:t>37</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68" w:history="1">
        <w:r w:rsidR="004F00DC" w:rsidRPr="00381EF0">
          <w:rPr>
            <w:rStyle w:val="Hyperlink"/>
          </w:rPr>
          <w:t>Human resources</w:t>
        </w:r>
        <w:r w:rsidR="004F00DC">
          <w:rPr>
            <w:webHidden/>
          </w:rPr>
          <w:tab/>
        </w:r>
        <w:r w:rsidR="004F00DC">
          <w:rPr>
            <w:webHidden/>
          </w:rPr>
          <w:fldChar w:fldCharType="begin"/>
        </w:r>
        <w:r w:rsidR="004F00DC">
          <w:rPr>
            <w:webHidden/>
          </w:rPr>
          <w:instrText xml:space="preserve"> PAGEREF _Toc460487968 \h </w:instrText>
        </w:r>
        <w:r w:rsidR="004F00DC">
          <w:rPr>
            <w:webHidden/>
          </w:rPr>
        </w:r>
        <w:r w:rsidR="004F00DC">
          <w:rPr>
            <w:webHidden/>
          </w:rPr>
          <w:fldChar w:fldCharType="separate"/>
        </w:r>
        <w:r>
          <w:rPr>
            <w:webHidden/>
          </w:rPr>
          <w:t>41</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69" w:history="1">
        <w:r w:rsidR="004F00DC" w:rsidRPr="00381EF0">
          <w:rPr>
            <w:rStyle w:val="Hyperlink"/>
            <w:noProof/>
          </w:rPr>
          <w:t>Financial statements</w:t>
        </w:r>
        <w:r w:rsidR="004F00DC">
          <w:rPr>
            <w:noProof/>
            <w:webHidden/>
          </w:rPr>
          <w:tab/>
        </w:r>
        <w:r w:rsidR="004F00DC">
          <w:rPr>
            <w:noProof/>
            <w:webHidden/>
          </w:rPr>
          <w:fldChar w:fldCharType="begin"/>
        </w:r>
        <w:r w:rsidR="004F00DC">
          <w:rPr>
            <w:noProof/>
            <w:webHidden/>
          </w:rPr>
          <w:instrText xml:space="preserve"> PAGEREF _Toc460487969 \h </w:instrText>
        </w:r>
        <w:r w:rsidR="004F00DC">
          <w:rPr>
            <w:noProof/>
            <w:webHidden/>
          </w:rPr>
        </w:r>
        <w:r w:rsidR="004F00DC">
          <w:rPr>
            <w:noProof/>
            <w:webHidden/>
          </w:rPr>
          <w:fldChar w:fldCharType="separate"/>
        </w:r>
        <w:r>
          <w:rPr>
            <w:noProof/>
            <w:webHidden/>
          </w:rPr>
          <w:t>44</w:t>
        </w:r>
        <w:r w:rsidR="004F00DC">
          <w:rPr>
            <w:noProof/>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70" w:history="1">
        <w:r w:rsidR="004F00DC" w:rsidRPr="00381EF0">
          <w:rPr>
            <w:rStyle w:val="Hyperlink"/>
            <w:noProof/>
          </w:rPr>
          <w:t>Financial statements - Table of contents</w:t>
        </w:r>
        <w:r w:rsidR="004F00DC">
          <w:rPr>
            <w:noProof/>
            <w:webHidden/>
          </w:rPr>
          <w:tab/>
        </w:r>
        <w:r w:rsidR="004F00DC">
          <w:rPr>
            <w:noProof/>
            <w:webHidden/>
          </w:rPr>
          <w:fldChar w:fldCharType="begin"/>
        </w:r>
        <w:r w:rsidR="004F00DC">
          <w:rPr>
            <w:noProof/>
            <w:webHidden/>
          </w:rPr>
          <w:instrText xml:space="preserve"> PAGEREF _Toc460487970 \h </w:instrText>
        </w:r>
        <w:r w:rsidR="004F00DC">
          <w:rPr>
            <w:noProof/>
            <w:webHidden/>
          </w:rPr>
        </w:r>
        <w:r w:rsidR="004F00DC">
          <w:rPr>
            <w:noProof/>
            <w:webHidden/>
          </w:rPr>
          <w:fldChar w:fldCharType="separate"/>
        </w:r>
        <w:r>
          <w:rPr>
            <w:noProof/>
            <w:webHidden/>
          </w:rPr>
          <w:t>45</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1" w:history="1">
        <w:r w:rsidR="004F00DC" w:rsidRPr="00381EF0">
          <w:rPr>
            <w:rStyle w:val="Hyperlink"/>
          </w:rPr>
          <w:t>Statement of comprehensive income</w:t>
        </w:r>
        <w:r w:rsidR="004F00DC">
          <w:rPr>
            <w:webHidden/>
          </w:rPr>
          <w:tab/>
        </w:r>
        <w:r w:rsidR="004F00DC">
          <w:rPr>
            <w:webHidden/>
          </w:rPr>
          <w:fldChar w:fldCharType="begin"/>
        </w:r>
        <w:r w:rsidR="004F00DC">
          <w:rPr>
            <w:webHidden/>
          </w:rPr>
          <w:instrText xml:space="preserve"> PAGEREF _Toc460487971 \h </w:instrText>
        </w:r>
        <w:r w:rsidR="004F00DC">
          <w:rPr>
            <w:webHidden/>
          </w:rPr>
        </w:r>
        <w:r w:rsidR="004F00DC">
          <w:rPr>
            <w:webHidden/>
          </w:rPr>
          <w:fldChar w:fldCharType="separate"/>
        </w:r>
        <w:r>
          <w:rPr>
            <w:webHidden/>
          </w:rPr>
          <w:t>46</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2" w:history="1">
        <w:r w:rsidR="004F00DC" w:rsidRPr="00381EF0">
          <w:rPr>
            <w:rStyle w:val="Hyperlink"/>
          </w:rPr>
          <w:t>Statement of financial position</w:t>
        </w:r>
        <w:r w:rsidR="004F00DC">
          <w:rPr>
            <w:webHidden/>
          </w:rPr>
          <w:tab/>
        </w:r>
        <w:r w:rsidR="004F00DC">
          <w:rPr>
            <w:webHidden/>
          </w:rPr>
          <w:fldChar w:fldCharType="begin"/>
        </w:r>
        <w:r w:rsidR="004F00DC">
          <w:rPr>
            <w:webHidden/>
          </w:rPr>
          <w:instrText xml:space="preserve"> PAGEREF _Toc460487972 \h </w:instrText>
        </w:r>
        <w:r w:rsidR="004F00DC">
          <w:rPr>
            <w:webHidden/>
          </w:rPr>
        </w:r>
        <w:r w:rsidR="004F00DC">
          <w:rPr>
            <w:webHidden/>
          </w:rPr>
          <w:fldChar w:fldCharType="separate"/>
        </w:r>
        <w:r>
          <w:rPr>
            <w:webHidden/>
          </w:rPr>
          <w:t>47</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3" w:history="1">
        <w:r w:rsidR="004F00DC" w:rsidRPr="00381EF0">
          <w:rPr>
            <w:rStyle w:val="Hyperlink"/>
          </w:rPr>
          <w:t>Statement of changes in equity</w:t>
        </w:r>
        <w:r w:rsidR="004F00DC">
          <w:rPr>
            <w:webHidden/>
          </w:rPr>
          <w:tab/>
        </w:r>
        <w:r w:rsidR="004F00DC">
          <w:rPr>
            <w:webHidden/>
          </w:rPr>
          <w:fldChar w:fldCharType="begin"/>
        </w:r>
        <w:r w:rsidR="004F00DC">
          <w:rPr>
            <w:webHidden/>
          </w:rPr>
          <w:instrText xml:space="preserve"> PAGEREF _Toc460487973 \h </w:instrText>
        </w:r>
        <w:r w:rsidR="004F00DC">
          <w:rPr>
            <w:webHidden/>
          </w:rPr>
        </w:r>
        <w:r w:rsidR="004F00DC">
          <w:rPr>
            <w:webHidden/>
          </w:rPr>
          <w:fldChar w:fldCharType="separate"/>
        </w:r>
        <w:r>
          <w:rPr>
            <w:webHidden/>
          </w:rPr>
          <w:t>48</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4" w:history="1">
        <w:r w:rsidR="004F00DC" w:rsidRPr="00381EF0">
          <w:rPr>
            <w:rStyle w:val="Hyperlink"/>
          </w:rPr>
          <w:t>Statement of cash flows</w:t>
        </w:r>
        <w:r w:rsidR="004F00DC">
          <w:rPr>
            <w:webHidden/>
          </w:rPr>
          <w:tab/>
        </w:r>
        <w:r w:rsidR="004F00DC">
          <w:rPr>
            <w:webHidden/>
          </w:rPr>
          <w:fldChar w:fldCharType="begin"/>
        </w:r>
        <w:r w:rsidR="004F00DC">
          <w:rPr>
            <w:webHidden/>
          </w:rPr>
          <w:instrText xml:space="preserve"> PAGEREF _Toc460487974 \h </w:instrText>
        </w:r>
        <w:r w:rsidR="004F00DC">
          <w:rPr>
            <w:webHidden/>
          </w:rPr>
        </w:r>
        <w:r w:rsidR="004F00DC">
          <w:rPr>
            <w:webHidden/>
          </w:rPr>
          <w:fldChar w:fldCharType="separate"/>
        </w:r>
        <w:r>
          <w:rPr>
            <w:webHidden/>
          </w:rPr>
          <w:t>49</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5" w:history="1">
        <w:r w:rsidR="004F00DC" w:rsidRPr="00381EF0">
          <w:rPr>
            <w:rStyle w:val="Hyperlink"/>
          </w:rPr>
          <w:t>Notes to and forming part of the financial statements 2015-16</w:t>
        </w:r>
        <w:r w:rsidR="004F00DC">
          <w:rPr>
            <w:webHidden/>
          </w:rPr>
          <w:tab/>
        </w:r>
        <w:r w:rsidR="004F00DC">
          <w:rPr>
            <w:webHidden/>
          </w:rPr>
          <w:fldChar w:fldCharType="begin"/>
        </w:r>
        <w:r w:rsidR="004F00DC">
          <w:rPr>
            <w:webHidden/>
          </w:rPr>
          <w:instrText xml:space="preserve"> PAGEREF _Toc460487975 \h </w:instrText>
        </w:r>
        <w:r w:rsidR="004F00DC">
          <w:rPr>
            <w:webHidden/>
          </w:rPr>
        </w:r>
        <w:r w:rsidR="004F00DC">
          <w:rPr>
            <w:webHidden/>
          </w:rPr>
          <w:fldChar w:fldCharType="separate"/>
        </w:r>
        <w:r>
          <w:rPr>
            <w:webHidden/>
          </w:rPr>
          <w:t>50</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6" w:history="1">
        <w:r w:rsidR="004F00DC" w:rsidRPr="00381EF0">
          <w:rPr>
            <w:rStyle w:val="Hyperlink"/>
          </w:rPr>
          <w:t>Management Certificate for the year ended 30 June 2016</w:t>
        </w:r>
        <w:r w:rsidR="004F00DC">
          <w:rPr>
            <w:webHidden/>
          </w:rPr>
          <w:tab/>
        </w:r>
        <w:r w:rsidR="004F00DC">
          <w:rPr>
            <w:webHidden/>
          </w:rPr>
          <w:fldChar w:fldCharType="begin"/>
        </w:r>
        <w:r w:rsidR="004F00DC">
          <w:rPr>
            <w:webHidden/>
          </w:rPr>
          <w:instrText xml:space="preserve"> PAGEREF _Toc460487976 \h </w:instrText>
        </w:r>
        <w:r w:rsidR="004F00DC">
          <w:rPr>
            <w:webHidden/>
          </w:rPr>
        </w:r>
        <w:r w:rsidR="004F00DC">
          <w:rPr>
            <w:webHidden/>
          </w:rPr>
          <w:fldChar w:fldCharType="separate"/>
        </w:r>
        <w:r>
          <w:rPr>
            <w:webHidden/>
          </w:rPr>
          <w:t>60</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7" w:history="1">
        <w:r w:rsidR="004F00DC" w:rsidRPr="00381EF0">
          <w:rPr>
            <w:rStyle w:val="Hyperlink"/>
          </w:rPr>
          <w:t>Independent Auditor’s Report</w:t>
        </w:r>
        <w:r w:rsidR="004F00DC">
          <w:rPr>
            <w:webHidden/>
          </w:rPr>
          <w:tab/>
        </w:r>
        <w:r w:rsidR="004F00DC">
          <w:rPr>
            <w:webHidden/>
          </w:rPr>
          <w:fldChar w:fldCharType="begin"/>
        </w:r>
        <w:r w:rsidR="004F00DC">
          <w:rPr>
            <w:webHidden/>
          </w:rPr>
          <w:instrText xml:space="preserve"> PAGEREF _Toc460487977 \h </w:instrText>
        </w:r>
        <w:r w:rsidR="004F00DC">
          <w:rPr>
            <w:webHidden/>
          </w:rPr>
        </w:r>
        <w:r w:rsidR="004F00DC">
          <w:rPr>
            <w:webHidden/>
          </w:rPr>
          <w:fldChar w:fldCharType="separate"/>
        </w:r>
        <w:r>
          <w:rPr>
            <w:webHidden/>
          </w:rPr>
          <w:t>61</w:t>
        </w:r>
        <w:r w:rsidR="004F00DC">
          <w:rPr>
            <w:webHidden/>
          </w:rPr>
          <w:fldChar w:fldCharType="end"/>
        </w:r>
      </w:hyperlink>
    </w:p>
    <w:p w:rsidR="004F00DC" w:rsidRDefault="003E64D5">
      <w:pPr>
        <w:pStyle w:val="TOC1"/>
        <w:tabs>
          <w:tab w:val="right" w:leader="dot" w:pos="9962"/>
        </w:tabs>
        <w:rPr>
          <w:rFonts w:asciiTheme="minorHAnsi" w:eastAsiaTheme="minorEastAsia" w:hAnsiTheme="minorHAnsi" w:cstheme="minorBidi"/>
          <w:b w:val="0"/>
          <w:bCs w:val="0"/>
          <w:noProof/>
          <w:kern w:val="0"/>
          <w:sz w:val="22"/>
          <w:szCs w:val="22"/>
          <w:lang w:val="en-AU" w:eastAsia="en-AU"/>
        </w:rPr>
      </w:pPr>
      <w:hyperlink w:anchor="_Toc460487978" w:history="1">
        <w:r w:rsidR="004F00DC" w:rsidRPr="00381EF0">
          <w:rPr>
            <w:rStyle w:val="Hyperlink"/>
            <w:noProof/>
          </w:rPr>
          <w:t>Appendices</w:t>
        </w:r>
        <w:r w:rsidR="004F00DC">
          <w:rPr>
            <w:noProof/>
            <w:webHidden/>
          </w:rPr>
          <w:tab/>
        </w:r>
        <w:r w:rsidR="004F00DC">
          <w:rPr>
            <w:noProof/>
            <w:webHidden/>
          </w:rPr>
          <w:fldChar w:fldCharType="begin"/>
        </w:r>
        <w:r w:rsidR="004F00DC">
          <w:rPr>
            <w:noProof/>
            <w:webHidden/>
          </w:rPr>
          <w:instrText xml:space="preserve"> PAGEREF _Toc460487978 \h </w:instrText>
        </w:r>
        <w:r w:rsidR="004F00DC">
          <w:rPr>
            <w:noProof/>
            <w:webHidden/>
          </w:rPr>
        </w:r>
        <w:r w:rsidR="004F00DC">
          <w:rPr>
            <w:noProof/>
            <w:webHidden/>
          </w:rPr>
          <w:fldChar w:fldCharType="separate"/>
        </w:r>
        <w:r>
          <w:rPr>
            <w:noProof/>
            <w:webHidden/>
          </w:rPr>
          <w:t>63</w:t>
        </w:r>
        <w:r w:rsidR="004F00DC">
          <w:rPr>
            <w:noProof/>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79" w:history="1">
        <w:r w:rsidR="004F00DC" w:rsidRPr="00381EF0">
          <w:rPr>
            <w:rStyle w:val="Hyperlink"/>
          </w:rPr>
          <w:t>Acronyms</w:t>
        </w:r>
        <w:r w:rsidR="004F00DC">
          <w:rPr>
            <w:webHidden/>
          </w:rPr>
          <w:tab/>
        </w:r>
        <w:r w:rsidR="004F00DC">
          <w:rPr>
            <w:webHidden/>
          </w:rPr>
          <w:fldChar w:fldCharType="begin"/>
        </w:r>
        <w:r w:rsidR="004F00DC">
          <w:rPr>
            <w:webHidden/>
          </w:rPr>
          <w:instrText xml:space="preserve"> PAGEREF _Toc460487979 \h </w:instrText>
        </w:r>
        <w:r w:rsidR="004F00DC">
          <w:rPr>
            <w:webHidden/>
          </w:rPr>
        </w:r>
        <w:r w:rsidR="004F00DC">
          <w:rPr>
            <w:webHidden/>
          </w:rPr>
          <w:fldChar w:fldCharType="separate"/>
        </w:r>
        <w:r>
          <w:rPr>
            <w:webHidden/>
          </w:rPr>
          <w:t>63</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80" w:history="1">
        <w:r w:rsidR="004F00DC" w:rsidRPr="00381EF0">
          <w:rPr>
            <w:rStyle w:val="Hyperlink"/>
          </w:rPr>
          <w:t>Glossary</w:t>
        </w:r>
        <w:r w:rsidR="004F00DC">
          <w:rPr>
            <w:webHidden/>
          </w:rPr>
          <w:tab/>
        </w:r>
        <w:r w:rsidR="004F00DC">
          <w:rPr>
            <w:webHidden/>
          </w:rPr>
          <w:fldChar w:fldCharType="begin"/>
        </w:r>
        <w:r w:rsidR="004F00DC">
          <w:rPr>
            <w:webHidden/>
          </w:rPr>
          <w:instrText xml:space="preserve"> PAGEREF _Toc460487980 \h </w:instrText>
        </w:r>
        <w:r w:rsidR="004F00DC">
          <w:rPr>
            <w:webHidden/>
          </w:rPr>
        </w:r>
        <w:r w:rsidR="004F00DC">
          <w:rPr>
            <w:webHidden/>
          </w:rPr>
          <w:fldChar w:fldCharType="separate"/>
        </w:r>
        <w:r>
          <w:rPr>
            <w:webHidden/>
          </w:rPr>
          <w:t>64</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81" w:history="1">
        <w:r w:rsidR="004F00DC" w:rsidRPr="00381EF0">
          <w:rPr>
            <w:rStyle w:val="Hyperlink"/>
          </w:rPr>
          <w:t>Compliance checklist</w:t>
        </w:r>
        <w:r w:rsidR="004F00DC">
          <w:rPr>
            <w:webHidden/>
          </w:rPr>
          <w:tab/>
        </w:r>
        <w:r w:rsidR="004F00DC">
          <w:rPr>
            <w:webHidden/>
          </w:rPr>
          <w:fldChar w:fldCharType="begin"/>
        </w:r>
        <w:r w:rsidR="004F00DC">
          <w:rPr>
            <w:webHidden/>
          </w:rPr>
          <w:instrText xml:space="preserve"> PAGEREF _Toc460487981 \h </w:instrText>
        </w:r>
        <w:r w:rsidR="004F00DC">
          <w:rPr>
            <w:webHidden/>
          </w:rPr>
        </w:r>
        <w:r w:rsidR="004F00DC">
          <w:rPr>
            <w:webHidden/>
          </w:rPr>
          <w:fldChar w:fldCharType="separate"/>
        </w:r>
        <w:r>
          <w:rPr>
            <w:webHidden/>
          </w:rPr>
          <w:t>65</w:t>
        </w:r>
        <w:r w:rsidR="004F00DC">
          <w:rPr>
            <w:webHidden/>
          </w:rPr>
          <w:fldChar w:fldCharType="end"/>
        </w:r>
      </w:hyperlink>
    </w:p>
    <w:p w:rsidR="004F00DC" w:rsidRDefault="003E64D5" w:rsidP="005920B4">
      <w:pPr>
        <w:pStyle w:val="TOC2"/>
        <w:rPr>
          <w:rFonts w:asciiTheme="minorHAnsi" w:eastAsiaTheme="minorEastAsia" w:hAnsiTheme="minorHAnsi" w:cstheme="minorBidi"/>
          <w:kern w:val="0"/>
          <w:szCs w:val="22"/>
          <w:lang w:val="en-AU" w:eastAsia="en-AU"/>
        </w:rPr>
      </w:pPr>
      <w:hyperlink w:anchor="_Toc460487982" w:history="1">
        <w:r w:rsidR="004F00DC" w:rsidRPr="00381EF0">
          <w:rPr>
            <w:rStyle w:val="Hyperlink"/>
          </w:rPr>
          <w:t>Contacts and key locations</w:t>
        </w:r>
        <w:r w:rsidR="004F00DC">
          <w:rPr>
            <w:webHidden/>
          </w:rPr>
          <w:tab/>
        </w:r>
        <w:r w:rsidR="004F00DC">
          <w:rPr>
            <w:webHidden/>
          </w:rPr>
          <w:fldChar w:fldCharType="begin"/>
        </w:r>
        <w:r w:rsidR="004F00DC">
          <w:rPr>
            <w:webHidden/>
          </w:rPr>
          <w:instrText xml:space="preserve"> PAGEREF _Toc460487982 \h </w:instrText>
        </w:r>
        <w:r w:rsidR="004F00DC">
          <w:rPr>
            <w:webHidden/>
          </w:rPr>
        </w:r>
        <w:r w:rsidR="004F00DC">
          <w:rPr>
            <w:webHidden/>
          </w:rPr>
          <w:fldChar w:fldCharType="separate"/>
        </w:r>
        <w:r>
          <w:rPr>
            <w:webHidden/>
          </w:rPr>
          <w:t>67</w:t>
        </w:r>
        <w:r w:rsidR="004F00DC">
          <w:rPr>
            <w:webHidden/>
          </w:rPr>
          <w:fldChar w:fldCharType="end"/>
        </w:r>
      </w:hyperlink>
    </w:p>
    <w:p w:rsidR="007A4AD3" w:rsidRPr="00AB04AA" w:rsidRDefault="0076456D">
      <w:r>
        <w:fldChar w:fldCharType="end"/>
      </w:r>
    </w:p>
    <w:p w:rsidR="007A4AD3" w:rsidRPr="00341581" w:rsidRDefault="00921D00">
      <w:r>
        <w:rPr>
          <w:szCs w:val="22"/>
        </w:rPr>
        <w:t xml:space="preserve">Information about </w:t>
      </w:r>
      <w:r w:rsidRPr="009A3DBD">
        <w:rPr>
          <w:szCs w:val="22"/>
        </w:rPr>
        <w:t>consultancies, overseas travel</w:t>
      </w:r>
      <w:r w:rsidR="00BF16BA">
        <w:rPr>
          <w:szCs w:val="22"/>
        </w:rPr>
        <w:t xml:space="preserve"> and</w:t>
      </w:r>
      <w:r>
        <w:rPr>
          <w:szCs w:val="22"/>
        </w:rPr>
        <w:t xml:space="preserve"> the </w:t>
      </w:r>
      <w:r w:rsidRPr="004008A3">
        <w:rPr>
          <w:i/>
          <w:szCs w:val="22"/>
        </w:rPr>
        <w:t>Queensland Language Services Policy</w:t>
      </w:r>
      <w:r>
        <w:rPr>
          <w:szCs w:val="22"/>
        </w:rPr>
        <w:t xml:space="preserve"> is available at the </w:t>
      </w:r>
      <w:r w:rsidRPr="009A3DBD">
        <w:rPr>
          <w:szCs w:val="22"/>
        </w:rPr>
        <w:t xml:space="preserve">Queensland Government Open Data </w:t>
      </w:r>
      <w:r>
        <w:rPr>
          <w:szCs w:val="22"/>
        </w:rPr>
        <w:t xml:space="preserve">website </w:t>
      </w:r>
      <w:r w:rsidRPr="009A3DBD">
        <w:rPr>
          <w:szCs w:val="22"/>
        </w:rPr>
        <w:t>(</w:t>
      </w:r>
      <w:hyperlink r:id="rId49" w:history="1">
        <w:r w:rsidRPr="00D142EC">
          <w:rPr>
            <w:rStyle w:val="Hyperlink"/>
            <w:color w:val="AB054C"/>
            <w:szCs w:val="22"/>
          </w:rPr>
          <w:t>www.data.qld.gov.au/</w:t>
        </w:r>
      </w:hyperlink>
      <w:r w:rsidRPr="009A3DBD">
        <w:rPr>
          <w:szCs w:val="22"/>
        </w:rPr>
        <w:t>).</w:t>
      </w:r>
      <w:r w:rsidR="007A4AD3" w:rsidRPr="00341581">
        <w:br w:type="page"/>
      </w:r>
    </w:p>
    <w:p w:rsidR="00D01B67" w:rsidRDefault="00D142EC" w:rsidP="00C60996">
      <w:pPr>
        <w:pStyle w:val="Heading2"/>
      </w:pPr>
      <w:bookmarkStart w:id="18" w:name="_Toc460406667"/>
      <w:bookmarkStart w:id="19" w:name="_Toc460406817"/>
      <w:bookmarkStart w:id="20" w:name="_Toc460406853"/>
      <w:bookmarkStart w:id="21" w:name="_Toc460406932"/>
      <w:bookmarkStart w:id="22" w:name="_Toc460407046"/>
      <w:bookmarkStart w:id="23" w:name="_Toc460487949"/>
      <w:r w:rsidRPr="00AA3A0A">
        <w:lastRenderedPageBreak/>
        <w:t>Inspector-General’</w:t>
      </w:r>
      <w:r w:rsidR="00677D61" w:rsidRPr="00AA3A0A">
        <w:t xml:space="preserve">s </w:t>
      </w:r>
      <w:r w:rsidR="00D92C5C" w:rsidRPr="00AA3A0A">
        <w:t>m</w:t>
      </w:r>
      <w:r w:rsidR="00677D61" w:rsidRPr="00AA3A0A">
        <w:t>essage</w:t>
      </w:r>
      <w:bookmarkEnd w:id="18"/>
      <w:bookmarkEnd w:id="19"/>
      <w:bookmarkEnd w:id="20"/>
      <w:bookmarkEnd w:id="21"/>
      <w:bookmarkEnd w:id="22"/>
      <w:bookmarkEnd w:id="23"/>
    </w:p>
    <w:p w:rsidR="00B40B59" w:rsidRDefault="00B40B59" w:rsidP="00DB3499">
      <w:pPr>
        <w:pStyle w:val="Default"/>
        <w:spacing w:before="120" w:after="120"/>
        <w:rPr>
          <w:sz w:val="22"/>
          <w:szCs w:val="22"/>
          <w:u w:val="none"/>
        </w:rPr>
      </w:pPr>
      <w:r>
        <w:rPr>
          <w:noProof/>
          <w:sz w:val="22"/>
          <w:szCs w:val="22"/>
          <w:u w:val="none"/>
          <w:lang w:eastAsia="en-AU"/>
        </w:rPr>
        <w:drawing>
          <wp:inline distT="0" distB="0" distL="0" distR="0" wp14:anchorId="08CC719E" wp14:editId="262F7FC9">
            <wp:extent cx="4464708" cy="248801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M_IainMackenzie.png"/>
                    <pic:cNvPicPr/>
                  </pic:nvPicPr>
                  <pic:blipFill rotWithShape="1">
                    <a:blip r:embed="rId50">
                      <a:extLst>
                        <a:ext uri="{28A0092B-C50C-407E-A947-70E740481C1C}">
                          <a14:useLocalDpi xmlns:a14="http://schemas.microsoft.com/office/drawing/2010/main" val="0"/>
                        </a:ext>
                      </a:extLst>
                    </a:blip>
                    <a:srcRect t="11587" b="4786"/>
                    <a:stretch/>
                  </pic:blipFill>
                  <pic:spPr bwMode="auto">
                    <a:xfrm>
                      <a:off x="0" y="0"/>
                      <a:ext cx="4464708" cy="2488018"/>
                    </a:xfrm>
                    <a:prstGeom prst="rect">
                      <a:avLst/>
                    </a:prstGeom>
                    <a:ln>
                      <a:noFill/>
                    </a:ln>
                    <a:extLst>
                      <a:ext uri="{53640926-AAD7-44D8-BBD7-CCE9431645EC}">
                        <a14:shadowObscured xmlns:a14="http://schemas.microsoft.com/office/drawing/2010/main"/>
                      </a:ext>
                    </a:extLst>
                  </pic:spPr>
                </pic:pic>
              </a:graphicData>
            </a:graphic>
          </wp:inline>
        </w:drawing>
      </w:r>
    </w:p>
    <w:p w:rsidR="00AA3A0A" w:rsidRPr="00AA3A0A" w:rsidRDefault="00AA3A0A" w:rsidP="00DB3499">
      <w:pPr>
        <w:pStyle w:val="Default"/>
        <w:spacing w:before="120" w:after="120"/>
        <w:rPr>
          <w:sz w:val="22"/>
          <w:szCs w:val="22"/>
          <w:u w:val="none"/>
        </w:rPr>
      </w:pPr>
      <w:r w:rsidRPr="00AA3A0A">
        <w:rPr>
          <w:sz w:val="22"/>
          <w:szCs w:val="22"/>
          <w:u w:val="none"/>
        </w:rPr>
        <w:t xml:space="preserve">The Office of the Inspector-General Emergency Management (IGEM) made significant progress during 2015-16 in achieving its vision of being a catalyst for excellence in emergency management in Queensland. </w:t>
      </w:r>
    </w:p>
    <w:p w:rsidR="00AA3A0A" w:rsidRPr="00AA3A0A" w:rsidRDefault="00AA3A0A" w:rsidP="00B40B59">
      <w:pPr>
        <w:pStyle w:val="Default"/>
        <w:spacing w:before="120" w:after="120"/>
        <w:rPr>
          <w:sz w:val="22"/>
          <w:szCs w:val="22"/>
          <w:u w:val="none"/>
        </w:rPr>
      </w:pPr>
      <w:r w:rsidRPr="00AA3A0A">
        <w:rPr>
          <w:sz w:val="22"/>
          <w:szCs w:val="22"/>
          <w:u w:val="none"/>
        </w:rPr>
        <w:t xml:space="preserve">Against a backdrop of a quieter storm and cyclone season, the Office of the IGEM led a broad range of initiatives and assurance activities to ensure Queenslanders benefit from the best possible disaster management arrangements. </w:t>
      </w:r>
    </w:p>
    <w:p w:rsidR="00AA3A0A" w:rsidRPr="00AA3A0A" w:rsidRDefault="00AA3A0A" w:rsidP="00B40B59">
      <w:pPr>
        <w:pStyle w:val="Default"/>
        <w:spacing w:before="120" w:after="120"/>
        <w:rPr>
          <w:sz w:val="22"/>
          <w:szCs w:val="22"/>
          <w:u w:val="none"/>
        </w:rPr>
      </w:pPr>
      <w:r w:rsidRPr="00AA3A0A">
        <w:rPr>
          <w:sz w:val="22"/>
          <w:szCs w:val="22"/>
          <w:u w:val="none"/>
        </w:rPr>
        <w:t>The ongoing adoption and application of the Emergency Management Assurance Framework and Queensland’s Standard for Disaster Management (the Standard) were key to the Office’s activities in 2015-16, and formed the basis of assurance activities undertaken by the Office</w:t>
      </w:r>
      <w:r w:rsidR="00240057">
        <w:rPr>
          <w:sz w:val="22"/>
          <w:szCs w:val="22"/>
          <w:u w:val="none"/>
        </w:rPr>
        <w:t xml:space="preserve"> of the IGEM</w:t>
      </w:r>
      <w:r w:rsidRPr="00AA3A0A">
        <w:rPr>
          <w:sz w:val="22"/>
          <w:szCs w:val="22"/>
          <w:u w:val="none"/>
        </w:rPr>
        <w:t xml:space="preserve">. </w:t>
      </w:r>
    </w:p>
    <w:p w:rsidR="00AA3A0A" w:rsidRPr="00AA3A0A" w:rsidRDefault="00AA3A0A" w:rsidP="00B40B59">
      <w:pPr>
        <w:pStyle w:val="Default"/>
        <w:spacing w:before="120" w:after="120"/>
        <w:rPr>
          <w:sz w:val="22"/>
          <w:szCs w:val="22"/>
          <w:u w:val="none"/>
        </w:rPr>
      </w:pPr>
      <w:r w:rsidRPr="00AA3A0A">
        <w:rPr>
          <w:sz w:val="22"/>
          <w:szCs w:val="22"/>
          <w:u w:val="none"/>
        </w:rPr>
        <w:t xml:space="preserve">Three formal reviews headlined the 2015-16 series of assurance activities: </w:t>
      </w:r>
    </w:p>
    <w:p w:rsidR="00AA3A0A" w:rsidRPr="00AA3A0A" w:rsidRDefault="00AA3A0A" w:rsidP="00207679">
      <w:pPr>
        <w:pStyle w:val="BodyText"/>
        <w:widowControl w:val="0"/>
        <w:numPr>
          <w:ilvl w:val="0"/>
          <w:numId w:val="34"/>
        </w:numPr>
        <w:spacing w:before="60" w:after="60" w:line="251" w:lineRule="exact"/>
        <w:ind w:left="473"/>
        <w:rPr>
          <w:szCs w:val="22"/>
        </w:rPr>
      </w:pPr>
      <w:r w:rsidRPr="00B40B59">
        <w:t>Seqwater</w:t>
      </w:r>
      <w:r w:rsidRPr="00AA3A0A">
        <w:rPr>
          <w:szCs w:val="22"/>
        </w:rPr>
        <w:t xml:space="preserve"> and SunWater Warnings Communications </w:t>
      </w:r>
    </w:p>
    <w:p w:rsidR="00AA3A0A" w:rsidRPr="00AA3A0A" w:rsidRDefault="00AA3A0A" w:rsidP="00207679">
      <w:pPr>
        <w:pStyle w:val="BodyText"/>
        <w:widowControl w:val="0"/>
        <w:numPr>
          <w:ilvl w:val="0"/>
          <w:numId w:val="34"/>
        </w:numPr>
        <w:spacing w:before="60" w:after="60" w:line="251" w:lineRule="exact"/>
        <w:ind w:left="473"/>
        <w:rPr>
          <w:szCs w:val="22"/>
        </w:rPr>
      </w:pPr>
      <w:r w:rsidRPr="00B40B59">
        <w:t>Capability</w:t>
      </w:r>
      <w:r w:rsidRPr="00AA3A0A">
        <w:rPr>
          <w:szCs w:val="22"/>
        </w:rPr>
        <w:t xml:space="preserve"> at a district and local level for the Warwick disaster district </w:t>
      </w:r>
    </w:p>
    <w:p w:rsidR="00AA3A0A" w:rsidRPr="00AA3A0A" w:rsidRDefault="00AA3A0A" w:rsidP="00207679">
      <w:pPr>
        <w:pStyle w:val="BodyText"/>
        <w:widowControl w:val="0"/>
        <w:numPr>
          <w:ilvl w:val="0"/>
          <w:numId w:val="34"/>
        </w:numPr>
        <w:spacing w:before="60" w:after="60" w:line="251" w:lineRule="exact"/>
        <w:ind w:left="473"/>
        <w:rPr>
          <w:szCs w:val="22"/>
        </w:rPr>
      </w:pPr>
      <w:r w:rsidRPr="00B40B59">
        <w:t>Aboriginal</w:t>
      </w:r>
      <w:r w:rsidRPr="00AA3A0A">
        <w:rPr>
          <w:szCs w:val="22"/>
        </w:rPr>
        <w:t xml:space="preserve"> and Torres Strait Islander Councils’ Capability to Deliver Disaster Management Responsibilities. </w:t>
      </w:r>
    </w:p>
    <w:p w:rsidR="00AA3A0A" w:rsidRPr="00AA3A0A" w:rsidRDefault="00AA3A0A" w:rsidP="00B40B59">
      <w:pPr>
        <w:pStyle w:val="Default"/>
        <w:spacing w:before="120" w:after="120"/>
        <w:rPr>
          <w:sz w:val="22"/>
          <w:szCs w:val="22"/>
          <w:u w:val="none"/>
        </w:rPr>
      </w:pPr>
      <w:r w:rsidRPr="00AA3A0A">
        <w:rPr>
          <w:sz w:val="22"/>
          <w:szCs w:val="22"/>
          <w:u w:val="none"/>
        </w:rPr>
        <w:t xml:space="preserve">In addition, the Office of the IGEM completed: </w:t>
      </w:r>
    </w:p>
    <w:p w:rsidR="00AA3A0A" w:rsidRPr="00AA3A0A" w:rsidRDefault="00AA3A0A" w:rsidP="00207679">
      <w:pPr>
        <w:pStyle w:val="BodyText"/>
        <w:widowControl w:val="0"/>
        <w:numPr>
          <w:ilvl w:val="0"/>
          <w:numId w:val="34"/>
        </w:numPr>
        <w:spacing w:before="60" w:after="60" w:line="251" w:lineRule="exact"/>
        <w:ind w:left="473"/>
        <w:rPr>
          <w:szCs w:val="22"/>
        </w:rPr>
      </w:pPr>
      <w:r w:rsidRPr="00B40B59">
        <w:t>an</w:t>
      </w:r>
      <w:r w:rsidRPr="00AA3A0A">
        <w:rPr>
          <w:szCs w:val="22"/>
        </w:rPr>
        <w:t xml:space="preserve"> analysis of </w:t>
      </w:r>
      <w:r w:rsidR="00F36F81">
        <w:rPr>
          <w:szCs w:val="22"/>
        </w:rPr>
        <w:t xml:space="preserve">documents relating to </w:t>
      </w:r>
      <w:r w:rsidRPr="00AA3A0A">
        <w:rPr>
          <w:szCs w:val="22"/>
        </w:rPr>
        <w:t xml:space="preserve">152 disaster management exercises, carried out between 2010 and 2015, to identify trends, innovation and good practice </w:t>
      </w:r>
    </w:p>
    <w:p w:rsidR="00AA3A0A" w:rsidRPr="00AA3A0A" w:rsidRDefault="00AA3A0A" w:rsidP="00207679">
      <w:pPr>
        <w:pStyle w:val="BodyText"/>
        <w:widowControl w:val="0"/>
        <w:numPr>
          <w:ilvl w:val="0"/>
          <w:numId w:val="34"/>
        </w:numPr>
        <w:spacing w:before="60" w:after="60" w:line="251" w:lineRule="exact"/>
        <w:ind w:left="473"/>
        <w:rPr>
          <w:szCs w:val="22"/>
        </w:rPr>
      </w:pPr>
      <w:r w:rsidRPr="00B40B59">
        <w:t>an</w:t>
      </w:r>
      <w:r w:rsidRPr="00AA3A0A">
        <w:rPr>
          <w:szCs w:val="22"/>
        </w:rPr>
        <w:t xml:space="preserve"> </w:t>
      </w:r>
      <w:r w:rsidRPr="00B40B59">
        <w:t>evaluation</w:t>
      </w:r>
      <w:r w:rsidRPr="00AA3A0A">
        <w:rPr>
          <w:szCs w:val="22"/>
        </w:rPr>
        <w:t xml:space="preserve"> of the achievements of the improvement strategies in the </w:t>
      </w:r>
      <w:r w:rsidRPr="00AA3A0A">
        <w:rPr>
          <w:i/>
          <w:iCs/>
          <w:szCs w:val="22"/>
        </w:rPr>
        <w:t>State Disaster Coordination Centre: Room for Improvement Report June 2014</w:t>
      </w:r>
      <w:r w:rsidRPr="00AA3A0A">
        <w:rPr>
          <w:szCs w:val="22"/>
        </w:rPr>
        <w:t xml:space="preserve">. </w:t>
      </w:r>
    </w:p>
    <w:p w:rsidR="00AA3A0A" w:rsidRPr="00AA3A0A" w:rsidRDefault="00AA3A0A" w:rsidP="00B40B59">
      <w:pPr>
        <w:pStyle w:val="Default"/>
        <w:spacing w:before="120" w:after="120"/>
        <w:rPr>
          <w:sz w:val="22"/>
          <w:szCs w:val="22"/>
          <w:u w:val="none"/>
        </w:rPr>
      </w:pPr>
      <w:r w:rsidRPr="00AA3A0A">
        <w:rPr>
          <w:sz w:val="22"/>
          <w:szCs w:val="22"/>
          <w:u w:val="none"/>
        </w:rPr>
        <w:t xml:space="preserve">To enhance disaster management excellence at the local level, the Office of the IGEM developed a range of products including: </w:t>
      </w:r>
    </w:p>
    <w:p w:rsidR="00AA3A0A" w:rsidRPr="00AA3A0A" w:rsidRDefault="00AA3A0A" w:rsidP="00207679">
      <w:pPr>
        <w:pStyle w:val="BodyText"/>
        <w:widowControl w:val="0"/>
        <w:numPr>
          <w:ilvl w:val="0"/>
          <w:numId w:val="34"/>
        </w:numPr>
        <w:spacing w:before="60" w:after="60" w:line="251" w:lineRule="exact"/>
        <w:ind w:left="473"/>
        <w:rPr>
          <w:szCs w:val="22"/>
        </w:rPr>
      </w:pPr>
      <w:r w:rsidRPr="00AA3A0A">
        <w:rPr>
          <w:szCs w:val="22"/>
        </w:rPr>
        <w:t xml:space="preserve">a </w:t>
      </w:r>
      <w:r w:rsidRPr="00B40B59">
        <w:t>single</w:t>
      </w:r>
      <w:r w:rsidRPr="00AA3A0A">
        <w:rPr>
          <w:szCs w:val="22"/>
        </w:rPr>
        <w:t xml:space="preserve"> online process to assess local and district disaster management plans </w:t>
      </w:r>
    </w:p>
    <w:p w:rsidR="00AA3A0A" w:rsidRPr="00AA3A0A" w:rsidRDefault="00AA3A0A" w:rsidP="00207679">
      <w:pPr>
        <w:pStyle w:val="BodyText"/>
        <w:widowControl w:val="0"/>
        <w:numPr>
          <w:ilvl w:val="0"/>
          <w:numId w:val="34"/>
        </w:numPr>
        <w:spacing w:before="60" w:after="60" w:line="251" w:lineRule="exact"/>
        <w:ind w:left="473"/>
        <w:rPr>
          <w:szCs w:val="22"/>
        </w:rPr>
      </w:pPr>
      <w:r w:rsidRPr="00AA3A0A">
        <w:rPr>
          <w:szCs w:val="22"/>
        </w:rPr>
        <w:t xml:space="preserve">an </w:t>
      </w:r>
      <w:r w:rsidRPr="00B40B59">
        <w:t>online</w:t>
      </w:r>
      <w:r w:rsidRPr="00AA3A0A">
        <w:rPr>
          <w:szCs w:val="22"/>
        </w:rPr>
        <w:t xml:space="preserve"> Prioritisation Tool to support entities to undertake a health </w:t>
      </w:r>
      <w:r w:rsidR="004F7F82">
        <w:rPr>
          <w:szCs w:val="22"/>
        </w:rPr>
        <w:t xml:space="preserve">check </w:t>
      </w:r>
      <w:r w:rsidRPr="00AA3A0A">
        <w:rPr>
          <w:szCs w:val="22"/>
        </w:rPr>
        <w:t xml:space="preserve">of their disaster management arrangements against the Standard </w:t>
      </w:r>
    </w:p>
    <w:p w:rsidR="00AA3A0A" w:rsidRPr="00AA3A0A" w:rsidRDefault="00AA3A0A" w:rsidP="00207679">
      <w:pPr>
        <w:pStyle w:val="BodyText"/>
        <w:widowControl w:val="0"/>
        <w:numPr>
          <w:ilvl w:val="0"/>
          <w:numId w:val="34"/>
        </w:numPr>
        <w:spacing w:before="60" w:after="60" w:line="251" w:lineRule="exact"/>
        <w:ind w:left="473"/>
        <w:rPr>
          <w:szCs w:val="22"/>
        </w:rPr>
      </w:pPr>
      <w:r w:rsidRPr="00AA3A0A">
        <w:rPr>
          <w:szCs w:val="22"/>
        </w:rPr>
        <w:t xml:space="preserve">a </w:t>
      </w:r>
      <w:r w:rsidRPr="00B40B59">
        <w:t>series</w:t>
      </w:r>
      <w:r w:rsidRPr="00AA3A0A">
        <w:rPr>
          <w:szCs w:val="22"/>
        </w:rPr>
        <w:t xml:space="preserve"> of ‘Accountabilities in practice’ fact sheets for practitioners. </w:t>
      </w:r>
    </w:p>
    <w:p w:rsidR="00AA3A0A" w:rsidRPr="00AA3A0A" w:rsidRDefault="00AA3A0A" w:rsidP="00B40B59">
      <w:pPr>
        <w:pStyle w:val="Default"/>
        <w:spacing w:before="120" w:after="120"/>
        <w:rPr>
          <w:sz w:val="22"/>
          <w:szCs w:val="22"/>
          <w:u w:val="none"/>
        </w:rPr>
      </w:pPr>
      <w:r w:rsidRPr="00AA3A0A">
        <w:rPr>
          <w:sz w:val="22"/>
          <w:szCs w:val="22"/>
          <w:u w:val="none"/>
        </w:rPr>
        <w:t xml:space="preserve">To assist stakeholders to better understand and apply the Standard, workshops were held across Queensland, inclusive of chairs and members of local and district disaster management groups. </w:t>
      </w:r>
    </w:p>
    <w:p w:rsidR="005D39C6" w:rsidRDefault="005D39C6">
      <w:pPr>
        <w:rPr>
          <w:color w:val="000000"/>
          <w:kern w:val="0"/>
          <w:szCs w:val="22"/>
          <w:lang w:val="en-AU" w:eastAsia="en-US"/>
        </w:rPr>
      </w:pPr>
      <w:r>
        <w:rPr>
          <w:szCs w:val="22"/>
        </w:rPr>
        <w:br w:type="page"/>
      </w:r>
    </w:p>
    <w:p w:rsidR="005D39C6" w:rsidRDefault="00AA3A0A" w:rsidP="00B40B59">
      <w:pPr>
        <w:pStyle w:val="Default"/>
        <w:spacing w:before="120" w:after="120"/>
        <w:rPr>
          <w:sz w:val="22"/>
          <w:szCs w:val="22"/>
          <w:u w:val="none"/>
        </w:rPr>
      </w:pPr>
      <w:r w:rsidRPr="00AA3A0A">
        <w:rPr>
          <w:sz w:val="22"/>
          <w:szCs w:val="22"/>
          <w:u w:val="none"/>
        </w:rPr>
        <w:lastRenderedPageBreak/>
        <w:t>The Office of the IGEM continued to drive its deep commitment to engagement, communication, collaboration and partnering with disaster management stakeholders.</w:t>
      </w:r>
    </w:p>
    <w:p w:rsidR="00B40B59" w:rsidRDefault="00B40B59" w:rsidP="00B40B59">
      <w:pPr>
        <w:pStyle w:val="Default"/>
        <w:spacing w:before="120" w:after="120"/>
        <w:rPr>
          <w:sz w:val="22"/>
          <w:szCs w:val="22"/>
          <w:u w:val="none"/>
        </w:rPr>
      </w:pPr>
      <w:r w:rsidRPr="00B40B59">
        <w:rPr>
          <w:sz w:val="22"/>
          <w:szCs w:val="22"/>
          <w:u w:val="none"/>
        </w:rPr>
        <w:t>As part of this commitment, a Disaster Management Officer Network was established to provide an opportunity for practitioners to connect; keep abreast of developments in disaster management arrangements and associated doctrine; and to share and develop skills, knowledge, resources, ideas and innovation. The network, which included a three day forum in Cairns (May 2016), has grown to include 71 officers from 51 local governments and one member from the Local Government Association of Queensland, in just seven months.</w:t>
      </w:r>
    </w:p>
    <w:p w:rsidR="00B40B59" w:rsidRDefault="00B40B59" w:rsidP="00B40B59">
      <w:pPr>
        <w:pStyle w:val="Default"/>
        <w:spacing w:before="120" w:after="120"/>
        <w:rPr>
          <w:sz w:val="22"/>
          <w:szCs w:val="22"/>
          <w:u w:val="none"/>
        </w:rPr>
      </w:pPr>
      <w:r w:rsidRPr="00B40B59">
        <w:rPr>
          <w:sz w:val="22"/>
          <w:szCs w:val="22"/>
          <w:u w:val="none"/>
        </w:rPr>
        <w:t xml:space="preserve">The focus on collaboration, partnerships and engagement was also highlighted in 2015-16 through: </w:t>
      </w:r>
    </w:p>
    <w:p w:rsidR="00B40B59" w:rsidRDefault="00B40B59" w:rsidP="00207679">
      <w:pPr>
        <w:pStyle w:val="BodyText"/>
        <w:widowControl w:val="0"/>
        <w:numPr>
          <w:ilvl w:val="0"/>
          <w:numId w:val="34"/>
        </w:numPr>
        <w:spacing w:before="60" w:after="60" w:line="251" w:lineRule="exact"/>
        <w:ind w:left="473"/>
        <w:rPr>
          <w:szCs w:val="22"/>
        </w:rPr>
      </w:pPr>
      <w:r>
        <w:rPr>
          <w:szCs w:val="22"/>
        </w:rPr>
        <w:t xml:space="preserve">creation of an IGEM Advisory Panel to provide practical advice from key stakeholder groups </w:t>
      </w:r>
    </w:p>
    <w:p w:rsidR="00B40B59" w:rsidRDefault="00B40B59" w:rsidP="00207679">
      <w:pPr>
        <w:pStyle w:val="BodyText"/>
        <w:widowControl w:val="0"/>
        <w:numPr>
          <w:ilvl w:val="0"/>
          <w:numId w:val="34"/>
        </w:numPr>
        <w:spacing w:before="60" w:after="60" w:line="251" w:lineRule="exact"/>
        <w:ind w:left="473"/>
        <w:rPr>
          <w:szCs w:val="22"/>
        </w:rPr>
      </w:pPr>
      <w:r w:rsidRPr="00207679">
        <w:t>development</w:t>
      </w:r>
      <w:r>
        <w:rPr>
          <w:szCs w:val="22"/>
        </w:rPr>
        <w:t xml:space="preserve"> of an online e-newsletter </w:t>
      </w:r>
      <w:r>
        <w:rPr>
          <w:i/>
          <w:iCs/>
          <w:szCs w:val="22"/>
        </w:rPr>
        <w:t>IGEM Connect</w:t>
      </w:r>
      <w:r>
        <w:rPr>
          <w:szCs w:val="22"/>
        </w:rPr>
        <w:t xml:space="preserve">, shared with more than 1,200 stakeholders </w:t>
      </w:r>
    </w:p>
    <w:p w:rsidR="00B40B59" w:rsidRDefault="00B40B59" w:rsidP="00207679">
      <w:pPr>
        <w:pStyle w:val="BodyText"/>
        <w:widowControl w:val="0"/>
        <w:numPr>
          <w:ilvl w:val="0"/>
          <w:numId w:val="34"/>
        </w:numPr>
        <w:spacing w:before="60" w:after="60" w:line="251" w:lineRule="exact"/>
        <w:ind w:left="473"/>
        <w:rPr>
          <w:szCs w:val="22"/>
        </w:rPr>
      </w:pPr>
      <w:r w:rsidRPr="00207679">
        <w:t>partnering</w:t>
      </w:r>
      <w:r>
        <w:rPr>
          <w:szCs w:val="22"/>
        </w:rPr>
        <w:t xml:space="preserve"> with practitioners in the Wide Bay and North Burnett region to undertake a study into disaster management arrangements for seniors living in their own homes </w:t>
      </w:r>
    </w:p>
    <w:p w:rsidR="00B40B59" w:rsidRDefault="00B40B59" w:rsidP="00207679">
      <w:pPr>
        <w:pStyle w:val="BodyText"/>
        <w:widowControl w:val="0"/>
        <w:numPr>
          <w:ilvl w:val="0"/>
          <w:numId w:val="34"/>
        </w:numPr>
        <w:spacing w:before="60" w:after="60" w:line="251" w:lineRule="exact"/>
        <w:ind w:left="473"/>
        <w:rPr>
          <w:szCs w:val="22"/>
        </w:rPr>
      </w:pPr>
      <w:r w:rsidRPr="00207679">
        <w:t>engagement</w:t>
      </w:r>
      <w:r>
        <w:rPr>
          <w:szCs w:val="22"/>
        </w:rPr>
        <w:t xml:space="preserve"> and partnering with individuals and agencies through innovation-related initiatives such as GovHack </w:t>
      </w:r>
    </w:p>
    <w:p w:rsidR="00B40B59" w:rsidRDefault="00B40B59" w:rsidP="00207679">
      <w:pPr>
        <w:pStyle w:val="BodyText"/>
        <w:widowControl w:val="0"/>
        <w:numPr>
          <w:ilvl w:val="0"/>
          <w:numId w:val="34"/>
        </w:numPr>
        <w:spacing w:before="60" w:after="60" w:line="251" w:lineRule="exact"/>
        <w:ind w:left="473"/>
        <w:rPr>
          <w:szCs w:val="22"/>
        </w:rPr>
      </w:pPr>
      <w:r w:rsidRPr="00207679">
        <w:t>establishment</w:t>
      </w:r>
      <w:r>
        <w:rPr>
          <w:szCs w:val="22"/>
        </w:rPr>
        <w:t xml:space="preserve"> of online platforms within the disaster management sector to support networking, encourage good practice and sharing of ideas </w:t>
      </w:r>
    </w:p>
    <w:p w:rsidR="00B40B59" w:rsidRDefault="00B40B59" w:rsidP="00207679">
      <w:pPr>
        <w:pStyle w:val="BodyText"/>
        <w:widowControl w:val="0"/>
        <w:numPr>
          <w:ilvl w:val="0"/>
          <w:numId w:val="34"/>
        </w:numPr>
        <w:spacing w:before="60" w:after="60" w:line="251" w:lineRule="exact"/>
        <w:ind w:left="473"/>
        <w:rPr>
          <w:szCs w:val="22"/>
        </w:rPr>
      </w:pPr>
      <w:r>
        <w:rPr>
          <w:szCs w:val="22"/>
        </w:rPr>
        <w:t xml:space="preserve">development of a multi-faceted research framework in collaboration with industry and the tertiary </w:t>
      </w:r>
      <w:r w:rsidRPr="00207679">
        <w:t>sector</w:t>
      </w:r>
      <w:r>
        <w:rPr>
          <w:szCs w:val="22"/>
        </w:rPr>
        <w:t xml:space="preserve"> to deliver high quality research that contributes to continuous improvement in practice and community outcomes in Queensland </w:t>
      </w:r>
    </w:p>
    <w:p w:rsidR="00B40B59" w:rsidRDefault="00B40B59" w:rsidP="00207679">
      <w:pPr>
        <w:pStyle w:val="BodyText"/>
        <w:widowControl w:val="0"/>
        <w:numPr>
          <w:ilvl w:val="0"/>
          <w:numId w:val="34"/>
        </w:numPr>
        <w:spacing w:before="60" w:after="60" w:line="251" w:lineRule="exact"/>
        <w:ind w:left="473"/>
        <w:rPr>
          <w:szCs w:val="22"/>
        </w:rPr>
      </w:pPr>
      <w:r w:rsidRPr="00207679">
        <w:t>significant</w:t>
      </w:r>
      <w:r>
        <w:rPr>
          <w:szCs w:val="22"/>
        </w:rPr>
        <w:t xml:space="preserve"> progression of the development of a disaster management lexicon through a working group comprising sector representatives. </w:t>
      </w:r>
    </w:p>
    <w:p w:rsidR="00B40B59" w:rsidRDefault="00B40B59" w:rsidP="00B40B59">
      <w:pPr>
        <w:pStyle w:val="Default"/>
        <w:spacing w:before="120" w:after="120"/>
        <w:rPr>
          <w:sz w:val="22"/>
          <w:szCs w:val="22"/>
          <w:u w:val="none"/>
        </w:rPr>
      </w:pPr>
      <w:r>
        <w:rPr>
          <w:sz w:val="22"/>
          <w:szCs w:val="22"/>
          <w:u w:val="none"/>
        </w:rPr>
        <w:t xml:space="preserve">In support of this engagement-focussed approach, staff from the Office of the IGEM also met with Mayors and senior executives from local governments throughout Queensland; addressed a number of local and district disaster management group meetings; spoke at local, national and international conferences; and participated in numerous exercises, workshops, forums and symposiums. </w:t>
      </w:r>
    </w:p>
    <w:p w:rsidR="00B40B59" w:rsidRDefault="00B40B59" w:rsidP="00B40B59">
      <w:pPr>
        <w:pStyle w:val="Default"/>
        <w:spacing w:before="120" w:after="120"/>
        <w:rPr>
          <w:sz w:val="22"/>
          <w:szCs w:val="22"/>
          <w:u w:val="none"/>
        </w:rPr>
      </w:pPr>
      <w:r>
        <w:rPr>
          <w:sz w:val="22"/>
          <w:szCs w:val="22"/>
          <w:u w:val="none"/>
        </w:rPr>
        <w:t xml:space="preserve">This commitment to collaboration, partnering and driving excellence in disaster management from the ground up was reflected in stakeholder satisfaction with the work of the Office of the IGEM. Overall, 83% of stakeholders were either ‘satisfied’ or ‘very satisfied’ with the services and advice provided by the Office of the IGEM. </w:t>
      </w:r>
    </w:p>
    <w:p w:rsidR="00B40B59" w:rsidRDefault="00B40B59" w:rsidP="00B40B59">
      <w:pPr>
        <w:pStyle w:val="Default"/>
        <w:spacing w:before="120" w:after="120"/>
        <w:rPr>
          <w:sz w:val="22"/>
          <w:szCs w:val="22"/>
          <w:u w:val="none"/>
        </w:rPr>
      </w:pPr>
      <w:r>
        <w:rPr>
          <w:sz w:val="22"/>
          <w:szCs w:val="22"/>
          <w:u w:val="none"/>
        </w:rPr>
        <w:t>My goal for the coming year is to take the excellent work of 2015-16 to the next level and continue to facilitate the delivery of the best possible disaster management arrangements for all Queenslanders.</w:t>
      </w:r>
    </w:p>
    <w:p w:rsidR="00B40B59" w:rsidRDefault="00797F44" w:rsidP="007464C1">
      <w:pPr>
        <w:pStyle w:val="Default"/>
        <w:spacing w:before="120" w:after="120"/>
        <w:rPr>
          <w:sz w:val="22"/>
          <w:szCs w:val="22"/>
          <w:u w:val="none"/>
        </w:rPr>
      </w:pPr>
      <w:r>
        <w:rPr>
          <w:noProof/>
          <w:sz w:val="22"/>
          <w:szCs w:val="22"/>
          <w:u w:val="none"/>
          <w:lang w:eastAsia="en-AU"/>
        </w:rPr>
        <w:drawing>
          <wp:inline distT="0" distB="0" distL="0" distR="0" wp14:anchorId="0745FD24" wp14:editId="230D0D9F">
            <wp:extent cx="6314888"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Message.png"/>
                    <pic:cNvPicPr/>
                  </pic:nvPicPr>
                  <pic:blipFill rotWithShape="1">
                    <a:blip r:embed="rId51">
                      <a:extLst>
                        <a:ext uri="{28A0092B-C50C-407E-A947-70E740481C1C}">
                          <a14:useLocalDpi xmlns:a14="http://schemas.microsoft.com/office/drawing/2010/main" val="0"/>
                        </a:ext>
                      </a:extLst>
                    </a:blip>
                    <a:srcRect l="8133" t="63778" r="9282" b="19231"/>
                    <a:stretch/>
                  </pic:blipFill>
                  <pic:spPr bwMode="auto">
                    <a:xfrm>
                      <a:off x="0" y="0"/>
                      <a:ext cx="6314888" cy="1838325"/>
                    </a:xfrm>
                    <a:prstGeom prst="rect">
                      <a:avLst/>
                    </a:prstGeom>
                    <a:ln>
                      <a:noFill/>
                    </a:ln>
                    <a:extLst>
                      <a:ext uri="{53640926-AAD7-44D8-BBD7-CCE9431645EC}">
                        <a14:shadowObscured xmlns:a14="http://schemas.microsoft.com/office/drawing/2010/main"/>
                      </a:ext>
                    </a:extLst>
                  </pic:spPr>
                </pic:pic>
              </a:graphicData>
            </a:graphic>
          </wp:inline>
        </w:drawing>
      </w:r>
    </w:p>
    <w:p w:rsidR="00B40B59" w:rsidRDefault="00B40B59" w:rsidP="00797F44">
      <w:pPr>
        <w:pStyle w:val="Default"/>
        <w:tabs>
          <w:tab w:val="left" w:pos="0"/>
        </w:tabs>
        <w:spacing w:before="120" w:after="120"/>
        <w:rPr>
          <w:sz w:val="22"/>
          <w:szCs w:val="22"/>
          <w:u w:val="none"/>
        </w:rPr>
      </w:pPr>
      <w:r>
        <w:rPr>
          <w:sz w:val="22"/>
          <w:szCs w:val="22"/>
          <w:u w:val="none"/>
        </w:rPr>
        <w:br w:type="page"/>
      </w:r>
    </w:p>
    <w:p w:rsidR="00677D61" w:rsidRPr="001D617A" w:rsidRDefault="00677D61" w:rsidP="00D77F80">
      <w:pPr>
        <w:pStyle w:val="Heading1"/>
        <w:ind w:left="0" w:right="77"/>
      </w:pPr>
      <w:bookmarkStart w:id="24" w:name="_Toc415049793"/>
      <w:bookmarkStart w:id="25" w:name="_Toc415050345"/>
      <w:bookmarkStart w:id="26" w:name="_Toc441671796"/>
      <w:bookmarkStart w:id="27" w:name="_Toc441672084"/>
      <w:bookmarkStart w:id="28" w:name="_Toc442168872"/>
      <w:bookmarkStart w:id="29" w:name="_Toc442339177"/>
      <w:bookmarkStart w:id="30" w:name="_Toc460406668"/>
      <w:bookmarkStart w:id="31" w:name="_Toc460406818"/>
      <w:bookmarkStart w:id="32" w:name="_Toc460406854"/>
      <w:bookmarkStart w:id="33" w:name="_Toc460406933"/>
      <w:bookmarkStart w:id="34" w:name="_Toc460407047"/>
      <w:bookmarkStart w:id="35" w:name="_Toc460487950"/>
      <w:r w:rsidRPr="001F5A45">
        <w:lastRenderedPageBreak/>
        <w:t>O</w:t>
      </w:r>
      <w:r w:rsidR="00B2375C" w:rsidRPr="001F5A45">
        <w:t>verview</w:t>
      </w:r>
      <w:bookmarkEnd w:id="24"/>
      <w:bookmarkEnd w:id="25"/>
      <w:bookmarkEnd w:id="26"/>
      <w:bookmarkEnd w:id="27"/>
      <w:bookmarkEnd w:id="28"/>
      <w:bookmarkEnd w:id="29"/>
      <w:bookmarkEnd w:id="30"/>
      <w:bookmarkEnd w:id="31"/>
      <w:bookmarkEnd w:id="32"/>
      <w:bookmarkEnd w:id="33"/>
      <w:bookmarkEnd w:id="34"/>
      <w:bookmarkEnd w:id="35"/>
    </w:p>
    <w:p w:rsidR="00677D61" w:rsidRPr="006145F1" w:rsidRDefault="00677D61" w:rsidP="00C60996">
      <w:pPr>
        <w:pStyle w:val="Heading2"/>
      </w:pPr>
      <w:bookmarkStart w:id="36" w:name="_Toc415049794"/>
      <w:bookmarkStart w:id="37" w:name="_Toc415050346"/>
      <w:bookmarkStart w:id="38" w:name="_Toc441671797"/>
      <w:bookmarkStart w:id="39" w:name="_Toc441672085"/>
      <w:bookmarkStart w:id="40" w:name="_Toc442168873"/>
      <w:bookmarkStart w:id="41" w:name="_Toc460406669"/>
      <w:bookmarkStart w:id="42" w:name="_Toc460406819"/>
      <w:bookmarkStart w:id="43" w:name="_Toc460406855"/>
      <w:bookmarkStart w:id="44" w:name="_Toc460406934"/>
      <w:bookmarkStart w:id="45" w:name="_Toc460407048"/>
      <w:bookmarkStart w:id="46" w:name="_Toc460487951"/>
      <w:r w:rsidRPr="006145F1">
        <w:t>Public safety portfolio overview</w:t>
      </w:r>
      <w:bookmarkEnd w:id="36"/>
      <w:bookmarkEnd w:id="37"/>
      <w:bookmarkEnd w:id="38"/>
      <w:bookmarkEnd w:id="39"/>
      <w:bookmarkEnd w:id="40"/>
      <w:bookmarkEnd w:id="41"/>
      <w:bookmarkEnd w:id="42"/>
      <w:bookmarkEnd w:id="43"/>
      <w:bookmarkEnd w:id="44"/>
      <w:bookmarkEnd w:id="45"/>
      <w:bookmarkEnd w:id="46"/>
    </w:p>
    <w:p w:rsidR="006145F1" w:rsidRPr="00341581" w:rsidRDefault="006145F1" w:rsidP="00207679">
      <w:pPr>
        <w:pStyle w:val="BodyText"/>
      </w:pPr>
      <w:r w:rsidRPr="00341581">
        <w:t xml:space="preserve">The </w:t>
      </w:r>
      <w:r>
        <w:t>p</w:t>
      </w:r>
      <w:r w:rsidRPr="00341581">
        <w:t xml:space="preserve">ublic </w:t>
      </w:r>
      <w:r>
        <w:t>s</w:t>
      </w:r>
      <w:r w:rsidRPr="00341581">
        <w:t xml:space="preserve">afety </w:t>
      </w:r>
      <w:r>
        <w:t>p</w:t>
      </w:r>
      <w:r w:rsidRPr="00341581">
        <w:t>ortfolio, under the Minister for Police, Fire and Emergency Services</w:t>
      </w:r>
      <w:r>
        <w:rPr>
          <w:spacing w:val="-28"/>
        </w:rPr>
        <w:t xml:space="preserve"> </w:t>
      </w:r>
      <w:r w:rsidRPr="00341581">
        <w:t>and</w:t>
      </w:r>
      <w:r w:rsidRPr="00341581">
        <w:rPr>
          <w:spacing w:val="-1"/>
        </w:rPr>
        <w:t xml:space="preserve"> </w:t>
      </w:r>
      <w:r w:rsidRPr="00341581">
        <w:t>Minister for Corrective Services, consists of the:</w:t>
      </w:r>
    </w:p>
    <w:p w:rsidR="006145F1" w:rsidRPr="00341581" w:rsidRDefault="006145F1" w:rsidP="00B40B59">
      <w:pPr>
        <w:pStyle w:val="BodyText"/>
        <w:widowControl w:val="0"/>
        <w:numPr>
          <w:ilvl w:val="0"/>
          <w:numId w:val="26"/>
        </w:numPr>
        <w:ind w:right="646"/>
      </w:pPr>
      <w:r w:rsidRPr="00341581">
        <w:t>Office of the Inspector-General</w:t>
      </w:r>
      <w:r w:rsidRPr="00341581">
        <w:rPr>
          <w:spacing w:val="-13"/>
        </w:rPr>
        <w:t xml:space="preserve"> </w:t>
      </w:r>
      <w:r w:rsidRPr="00341581">
        <w:t xml:space="preserve">Emergency Management (IGEM) </w:t>
      </w:r>
    </w:p>
    <w:p w:rsidR="006145F1" w:rsidRPr="00341581" w:rsidRDefault="006145F1" w:rsidP="00B40B59">
      <w:pPr>
        <w:pStyle w:val="BodyText"/>
        <w:widowControl w:val="0"/>
        <w:numPr>
          <w:ilvl w:val="0"/>
          <w:numId w:val="26"/>
        </w:numPr>
        <w:ind w:right="646"/>
      </w:pPr>
      <w:r w:rsidRPr="00341581">
        <w:t>Public Safety Business Agency (PSBA)</w:t>
      </w:r>
    </w:p>
    <w:p w:rsidR="006145F1" w:rsidRPr="00341581" w:rsidRDefault="006145F1" w:rsidP="00B40B59">
      <w:pPr>
        <w:pStyle w:val="BodyText"/>
        <w:widowControl w:val="0"/>
        <w:numPr>
          <w:ilvl w:val="0"/>
          <w:numId w:val="26"/>
        </w:numPr>
        <w:ind w:right="646"/>
      </w:pPr>
      <w:r w:rsidRPr="00341581">
        <w:t>Queensland Fire and</w:t>
      </w:r>
      <w:r w:rsidRPr="00341581">
        <w:rPr>
          <w:spacing w:val="-30"/>
        </w:rPr>
        <w:t xml:space="preserve"> </w:t>
      </w:r>
      <w:r w:rsidRPr="00341581">
        <w:t xml:space="preserve">Emergency Services (QFES) </w:t>
      </w:r>
    </w:p>
    <w:p w:rsidR="006145F1" w:rsidRPr="00341581" w:rsidRDefault="006145F1" w:rsidP="00B40B59">
      <w:pPr>
        <w:pStyle w:val="BodyText"/>
        <w:widowControl w:val="0"/>
        <w:numPr>
          <w:ilvl w:val="0"/>
          <w:numId w:val="26"/>
        </w:numPr>
        <w:ind w:right="646"/>
      </w:pPr>
      <w:r w:rsidRPr="00341581">
        <w:t xml:space="preserve">Queensland Police Service (QPS). </w:t>
      </w:r>
    </w:p>
    <w:p w:rsidR="00926C81" w:rsidRDefault="006145F1" w:rsidP="00207679">
      <w:pPr>
        <w:pStyle w:val="BodyText"/>
        <w:rPr>
          <w:noProof/>
          <w:lang w:val="en-AU" w:eastAsia="en-AU"/>
        </w:rPr>
      </w:pPr>
      <w:r w:rsidRPr="00341581">
        <w:t>The portfolio structure is designed</w:t>
      </w:r>
      <w:r w:rsidRPr="00341581">
        <w:rPr>
          <w:spacing w:val="-33"/>
        </w:rPr>
        <w:t xml:space="preserve"> </w:t>
      </w:r>
      <w:r w:rsidRPr="00341581">
        <w:t>to support an integrated and collaborative approach to service</w:t>
      </w:r>
      <w:r w:rsidRPr="00341581">
        <w:rPr>
          <w:spacing w:val="-29"/>
        </w:rPr>
        <w:t xml:space="preserve"> </w:t>
      </w:r>
      <w:r w:rsidRPr="00341581">
        <w:t>delivery.</w:t>
      </w:r>
    </w:p>
    <w:p w:rsidR="006145F1" w:rsidRDefault="006145F1" w:rsidP="006145F1">
      <w:pPr>
        <w:pStyle w:val="BodyText"/>
        <w:ind w:left="112" w:right="646"/>
      </w:pPr>
      <w:r>
        <w:rPr>
          <w:noProof/>
          <w:lang w:val="en-AU" w:eastAsia="en-AU"/>
        </w:rPr>
        <w:drawing>
          <wp:inline distT="0" distB="0" distL="0" distR="0" wp14:anchorId="46D04170" wp14:editId="3E6B33C3">
            <wp:extent cx="5819466" cy="393364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 overview.png"/>
                    <pic:cNvPicPr/>
                  </pic:nvPicPr>
                  <pic:blipFill rotWithShape="1">
                    <a:blip r:embed="rId52">
                      <a:extLst>
                        <a:ext uri="{28A0092B-C50C-407E-A947-70E740481C1C}">
                          <a14:useLocalDpi xmlns:a14="http://schemas.microsoft.com/office/drawing/2010/main" val="0"/>
                        </a:ext>
                      </a:extLst>
                    </a:blip>
                    <a:srcRect l="8043" t="13301" b="42722"/>
                    <a:stretch/>
                  </pic:blipFill>
                  <pic:spPr bwMode="auto">
                    <a:xfrm>
                      <a:off x="0" y="0"/>
                      <a:ext cx="5822956" cy="3936005"/>
                    </a:xfrm>
                    <a:prstGeom prst="rect">
                      <a:avLst/>
                    </a:prstGeom>
                    <a:ln>
                      <a:noFill/>
                    </a:ln>
                    <a:extLst>
                      <a:ext uri="{53640926-AAD7-44D8-BBD7-CCE9431645EC}">
                        <a14:shadowObscured xmlns:a14="http://schemas.microsoft.com/office/drawing/2010/main"/>
                      </a:ext>
                    </a:extLst>
                  </pic:spPr>
                </pic:pic>
              </a:graphicData>
            </a:graphic>
          </wp:inline>
        </w:drawing>
      </w:r>
    </w:p>
    <w:p w:rsidR="006145F1" w:rsidRPr="001D617A" w:rsidRDefault="006145F1" w:rsidP="00B81DAB">
      <w:pPr>
        <w:pStyle w:val="Heading3"/>
      </w:pPr>
      <w:r w:rsidRPr="001D617A">
        <w:t>Office of the Inspector-General Emergency Management</w:t>
      </w:r>
    </w:p>
    <w:p w:rsidR="006145F1" w:rsidRPr="00341581" w:rsidRDefault="006145F1" w:rsidP="006145F1">
      <w:r w:rsidRPr="00341581">
        <w:t>The Office of the IGEM was formally established as a public service office on 1 July 2014</w:t>
      </w:r>
      <w:r w:rsidRPr="00341581">
        <w:rPr>
          <w:spacing w:val="-27"/>
        </w:rPr>
        <w:t xml:space="preserve"> </w:t>
      </w:r>
      <w:r w:rsidRPr="00341581">
        <w:t>under</w:t>
      </w:r>
      <w:r w:rsidRPr="00341581">
        <w:rPr>
          <w:spacing w:val="-1"/>
        </w:rPr>
        <w:t xml:space="preserve"> </w:t>
      </w:r>
      <w:r w:rsidRPr="00341581">
        <w:t xml:space="preserve">amendments to the </w:t>
      </w:r>
      <w:r w:rsidRPr="00341581">
        <w:rPr>
          <w:i/>
        </w:rPr>
        <w:t>Disaster Management Act 2003</w:t>
      </w:r>
      <w:r w:rsidRPr="00341581">
        <w:t>. The Office of the IGEM provides</w:t>
      </w:r>
      <w:r w:rsidRPr="00341581">
        <w:rPr>
          <w:spacing w:val="-35"/>
        </w:rPr>
        <w:t xml:space="preserve"> </w:t>
      </w:r>
      <w:r w:rsidRPr="00341581">
        <w:t>independent</w:t>
      </w:r>
      <w:r w:rsidRPr="00341581">
        <w:rPr>
          <w:spacing w:val="-1"/>
        </w:rPr>
        <w:t xml:space="preserve"> </w:t>
      </w:r>
      <w:r w:rsidRPr="00341581">
        <w:t>assurance and advice to enable confidence in Queensland’s emergency</w:t>
      </w:r>
      <w:r w:rsidRPr="00341581">
        <w:rPr>
          <w:spacing w:val="-15"/>
        </w:rPr>
        <w:t xml:space="preserve"> </w:t>
      </w:r>
      <w:r w:rsidRPr="00341581">
        <w:t>management</w:t>
      </w:r>
      <w:r w:rsidRPr="00341581">
        <w:rPr>
          <w:spacing w:val="-1"/>
        </w:rPr>
        <w:t xml:space="preserve"> </w:t>
      </w:r>
      <w:r w:rsidRPr="00341581">
        <w:t>arrangements.</w:t>
      </w:r>
    </w:p>
    <w:p w:rsidR="00B81DAB" w:rsidRDefault="00B81DAB">
      <w:pPr>
        <w:rPr>
          <w:rFonts w:ascii="Arial Bold" w:eastAsia="Calibri" w:hAnsi="Arial Bold"/>
          <w:b/>
          <w:bCs/>
          <w:sz w:val="28"/>
          <w14:ligatures w14:val="standardContextual"/>
        </w:rPr>
      </w:pPr>
      <w:r>
        <w:br w:type="page"/>
      </w:r>
    </w:p>
    <w:p w:rsidR="006145F1" w:rsidRPr="001D617A" w:rsidRDefault="006145F1" w:rsidP="00B81DAB">
      <w:pPr>
        <w:pStyle w:val="Heading3"/>
      </w:pPr>
      <w:r w:rsidRPr="001D617A">
        <w:lastRenderedPageBreak/>
        <w:t>Public Safety Business Agency</w:t>
      </w:r>
    </w:p>
    <w:p w:rsidR="006145F1" w:rsidRPr="00341581" w:rsidRDefault="006145F1" w:rsidP="006145F1">
      <w:pPr>
        <w:rPr>
          <w:rFonts w:eastAsia="Arial"/>
        </w:rPr>
      </w:pPr>
      <w:r w:rsidRPr="00341581">
        <w:t xml:space="preserve">PSBA was established on 1 November 2013 under the </w:t>
      </w:r>
      <w:r w:rsidRPr="00341581">
        <w:rPr>
          <w:i/>
        </w:rPr>
        <w:t xml:space="preserve">Public Service Act 2008 </w:t>
      </w:r>
      <w:r w:rsidRPr="00341581">
        <w:t>with the renaming</w:t>
      </w:r>
      <w:r w:rsidRPr="00341581">
        <w:rPr>
          <w:spacing w:val="-29"/>
        </w:rPr>
        <w:t xml:space="preserve"> </w:t>
      </w:r>
      <w:r w:rsidRPr="00341581">
        <w:rPr>
          <w:spacing w:val="-3"/>
        </w:rPr>
        <w:t xml:space="preserve">of </w:t>
      </w:r>
      <w:r w:rsidRPr="00341581">
        <w:t>the Department of Community Safety (</w:t>
      </w:r>
      <w:r w:rsidRPr="00341581">
        <w:rPr>
          <w:i/>
        </w:rPr>
        <w:t>Public Service Departmental Arrangements Notice</w:t>
      </w:r>
      <w:r w:rsidRPr="00341581">
        <w:rPr>
          <w:i/>
          <w:spacing w:val="-23"/>
        </w:rPr>
        <w:t xml:space="preserve"> </w:t>
      </w:r>
      <w:r w:rsidRPr="00341581">
        <w:rPr>
          <w:i/>
        </w:rPr>
        <w:t>(No.8)</w:t>
      </w:r>
      <w:r w:rsidRPr="00341581">
        <w:rPr>
          <w:i/>
          <w:spacing w:val="-3"/>
        </w:rPr>
        <w:t xml:space="preserve"> </w:t>
      </w:r>
      <w:r w:rsidRPr="00341581">
        <w:rPr>
          <w:i/>
        </w:rPr>
        <w:t>2013)</w:t>
      </w:r>
      <w:r>
        <w:t>. On 21 </w:t>
      </w:r>
      <w:r w:rsidRPr="00341581">
        <w:t xml:space="preserve">May 2014, with the assent of the </w:t>
      </w:r>
      <w:r w:rsidRPr="00341581">
        <w:rPr>
          <w:i/>
        </w:rPr>
        <w:t>Public Safety Business Agency Act 2014</w:t>
      </w:r>
      <w:r w:rsidRPr="00341581">
        <w:t>, PSBA</w:t>
      </w:r>
      <w:r w:rsidRPr="00341581">
        <w:rPr>
          <w:spacing w:val="-30"/>
        </w:rPr>
        <w:t xml:space="preserve"> </w:t>
      </w:r>
      <w:r w:rsidRPr="00341581">
        <w:t>was established as a public service</w:t>
      </w:r>
      <w:r w:rsidRPr="00341581">
        <w:rPr>
          <w:spacing w:val="-10"/>
        </w:rPr>
        <w:t xml:space="preserve"> </w:t>
      </w:r>
      <w:r w:rsidRPr="00341581">
        <w:t>office.</w:t>
      </w:r>
    </w:p>
    <w:p w:rsidR="006145F1" w:rsidRDefault="006145F1" w:rsidP="006145F1">
      <w:pPr>
        <w:pStyle w:val="BodyText"/>
      </w:pPr>
      <w:r w:rsidRPr="00341581">
        <w:t>PSBA provides strategic and corporate services to Queensland’s public safety agencies – the</w:t>
      </w:r>
      <w:r w:rsidRPr="00341581">
        <w:rPr>
          <w:spacing w:val="-31"/>
        </w:rPr>
        <w:t xml:space="preserve"> </w:t>
      </w:r>
      <w:r w:rsidRPr="00341581">
        <w:t>Office of the IGEM, QFES and QPS – allowing them to concentrate on frontline service delivery. It</w:t>
      </w:r>
      <w:r w:rsidRPr="00341581">
        <w:rPr>
          <w:spacing w:val="-18"/>
        </w:rPr>
        <w:t xml:space="preserve"> </w:t>
      </w:r>
      <w:r w:rsidRPr="00341581">
        <w:t>also performs operational functions including Queensland Government Air (QGAir) services,</w:t>
      </w:r>
      <w:r w:rsidRPr="00341581">
        <w:rPr>
          <w:spacing w:val="-13"/>
        </w:rPr>
        <w:t xml:space="preserve"> </w:t>
      </w:r>
      <w:r w:rsidRPr="00341581">
        <w:t>State</w:t>
      </w:r>
      <w:r w:rsidRPr="00341581">
        <w:rPr>
          <w:spacing w:val="1"/>
        </w:rPr>
        <w:t xml:space="preserve"> </w:t>
      </w:r>
      <w:r w:rsidRPr="00341581">
        <w:t xml:space="preserve">Government Security and administration of the Blue Card system. </w:t>
      </w:r>
    </w:p>
    <w:p w:rsidR="006145F1" w:rsidRDefault="006145F1" w:rsidP="006145F1">
      <w:pPr>
        <w:rPr>
          <w:rFonts w:eastAsia="Arial"/>
        </w:rPr>
      </w:pPr>
      <w:r w:rsidRPr="00E569A8">
        <w:rPr>
          <w:rFonts w:eastAsia="Arial"/>
        </w:rPr>
        <w:t xml:space="preserve">An independent review of the PSBA was undertaken by the Public Service Commission in 2015. </w:t>
      </w:r>
      <w:r>
        <w:rPr>
          <w:rFonts w:eastAsia="Arial"/>
        </w:rPr>
        <w:t>T</w:t>
      </w:r>
      <w:r w:rsidRPr="00E569A8">
        <w:rPr>
          <w:rFonts w:eastAsia="Arial"/>
        </w:rPr>
        <w:t xml:space="preserve">he final report </w:t>
      </w:r>
      <w:r w:rsidRPr="00E569A8">
        <w:rPr>
          <w:rFonts w:eastAsia="Arial"/>
          <w:i/>
        </w:rPr>
        <w:t>Review of the Public Safety Business Agency</w:t>
      </w:r>
      <w:r w:rsidRPr="00E569A8">
        <w:rPr>
          <w:rFonts w:eastAsia="Arial"/>
        </w:rPr>
        <w:t xml:space="preserve"> (November 2015) was tabled in Parliament in February 2016. The review considered the scope, function and structure of the PSBA to ensure it effectively supported public safety service delivery to the community. The review recommended the PSBA narrow its focus to corporate support and made eight recommendations. The government accepted the review's recommendations, with the exception of recommendation six (to transfer the Police Air Wing to the QPS).</w:t>
      </w:r>
      <w:r w:rsidRPr="00495CDE">
        <w:rPr>
          <w:rFonts w:eastAsia="Arial"/>
        </w:rPr>
        <w:t xml:space="preserve"> </w:t>
      </w:r>
      <w:r w:rsidR="00240057">
        <w:rPr>
          <w:rFonts w:eastAsia="Arial"/>
        </w:rPr>
        <w:t>Further work will be progressed on this recommendation.</w:t>
      </w:r>
    </w:p>
    <w:p w:rsidR="0070029E" w:rsidRPr="003F102C" w:rsidRDefault="0070029E" w:rsidP="0070029E">
      <w:pPr>
        <w:rPr>
          <w:rFonts w:eastAsia="Times New Roman"/>
          <w:szCs w:val="22"/>
          <w:highlight w:val="yellow"/>
        </w:rPr>
      </w:pPr>
      <w:r>
        <w:rPr>
          <w:rFonts w:eastAsia="Arial"/>
        </w:rPr>
        <w:t xml:space="preserve">A PSBA </w:t>
      </w:r>
      <w:r w:rsidRPr="00683521">
        <w:rPr>
          <w:rFonts w:eastAsia="Times New Roman"/>
          <w:szCs w:val="22"/>
        </w:rPr>
        <w:t xml:space="preserve">Interim Board of Management was </w:t>
      </w:r>
      <w:r>
        <w:rPr>
          <w:rFonts w:eastAsia="Times New Roman"/>
          <w:szCs w:val="22"/>
        </w:rPr>
        <w:t xml:space="preserve">subsequently </w:t>
      </w:r>
      <w:r w:rsidRPr="00683521">
        <w:rPr>
          <w:rFonts w:eastAsia="Times New Roman"/>
          <w:szCs w:val="22"/>
        </w:rPr>
        <w:t>established</w:t>
      </w:r>
      <w:r>
        <w:rPr>
          <w:rFonts w:eastAsia="Times New Roman"/>
          <w:szCs w:val="22"/>
        </w:rPr>
        <w:t xml:space="preserve"> (inaugural meeting held 16 May 2016) </w:t>
      </w:r>
      <w:r w:rsidRPr="00683521">
        <w:rPr>
          <w:rFonts w:eastAsia="Times New Roman"/>
          <w:szCs w:val="22"/>
        </w:rPr>
        <w:t xml:space="preserve">to progress the </w:t>
      </w:r>
      <w:r>
        <w:rPr>
          <w:rFonts w:eastAsia="Times New Roman"/>
          <w:szCs w:val="22"/>
        </w:rPr>
        <w:t>review</w:t>
      </w:r>
      <w:r w:rsidRPr="00683521">
        <w:rPr>
          <w:rFonts w:eastAsia="Times New Roman"/>
          <w:szCs w:val="22"/>
        </w:rPr>
        <w:t xml:space="preserve"> recommendations and provide peak governance and coordination until a mature governance framework and organi</w:t>
      </w:r>
      <w:r>
        <w:rPr>
          <w:rFonts w:eastAsia="Times New Roman"/>
          <w:szCs w:val="22"/>
        </w:rPr>
        <w:t xml:space="preserve">sational structure is in place. An Acting Chief Executive Officer, PSBA was also appointed in April 2016 to assist the </w:t>
      </w:r>
      <w:r w:rsidR="009F6CC7">
        <w:rPr>
          <w:rFonts w:eastAsia="Times New Roman"/>
          <w:szCs w:val="22"/>
        </w:rPr>
        <w:t xml:space="preserve">PSBA </w:t>
      </w:r>
      <w:r>
        <w:rPr>
          <w:rFonts w:eastAsia="Times New Roman"/>
          <w:szCs w:val="22"/>
        </w:rPr>
        <w:t>Interim Board of Management.</w:t>
      </w:r>
    </w:p>
    <w:p w:rsidR="0087438B" w:rsidRDefault="0070029E" w:rsidP="0087438B">
      <w:pPr>
        <w:pStyle w:val="BodyText"/>
        <w:rPr>
          <w:bCs/>
        </w:rPr>
      </w:pPr>
      <w:r w:rsidRPr="0087438B">
        <w:rPr>
          <w:rFonts w:eastAsia="Arial"/>
        </w:rPr>
        <w:t xml:space="preserve">The </w:t>
      </w:r>
      <w:r w:rsidRPr="0087438B">
        <w:rPr>
          <w:i/>
        </w:rPr>
        <w:t xml:space="preserve">Public Safety Business Agency and Other Legislation Amendment Bill 2016 </w:t>
      </w:r>
      <w:r w:rsidRPr="0087438B">
        <w:t xml:space="preserve">was introduced into Parliament on 24 May 2016. </w:t>
      </w:r>
      <w:r w:rsidR="0087438B" w:rsidRPr="0087438B">
        <w:t xml:space="preserve">The Bill proposes to implement various recommendations of the review, including establishing the PSBA Board of Management and changing the role of the PSBA Chief Executive Officer to Chief Operating Officer. The Bill was referred to the Legal Affairs and Community Safety Committee for consideration. The committee is required to report back to Parliament on the Bill by </w:t>
      </w:r>
      <w:r w:rsidR="0087438B" w:rsidRPr="0087438B">
        <w:rPr>
          <w:bCs/>
        </w:rPr>
        <w:t>2 August 2016.</w:t>
      </w:r>
    </w:p>
    <w:p w:rsidR="006145F1" w:rsidRDefault="006145F1" w:rsidP="0087438B">
      <w:pPr>
        <w:pStyle w:val="BodyText"/>
        <w:rPr>
          <w:rFonts w:eastAsia="Arial"/>
        </w:rPr>
      </w:pPr>
      <w:r w:rsidRPr="00E21F26">
        <w:rPr>
          <w:rFonts w:eastAsia="Arial"/>
        </w:rPr>
        <w:t xml:space="preserve">For further information regarding </w:t>
      </w:r>
      <w:r w:rsidRPr="0031113D">
        <w:rPr>
          <w:rFonts w:eastAsia="Arial"/>
        </w:rPr>
        <w:t xml:space="preserve">the review refer to page </w:t>
      </w:r>
      <w:r w:rsidR="0031113D" w:rsidRPr="0031113D">
        <w:rPr>
          <w:rFonts w:eastAsia="Arial"/>
        </w:rPr>
        <w:t>37</w:t>
      </w:r>
      <w:r w:rsidRPr="0031113D">
        <w:rPr>
          <w:rFonts w:eastAsia="Arial"/>
        </w:rPr>
        <w:t>.</w:t>
      </w:r>
    </w:p>
    <w:p w:rsidR="006145F1" w:rsidRPr="001D617A" w:rsidRDefault="006145F1" w:rsidP="00B81DAB">
      <w:pPr>
        <w:pStyle w:val="Heading3"/>
      </w:pPr>
      <w:r w:rsidRPr="001D617A">
        <w:t>Queensland Fire and Emergency Services</w:t>
      </w:r>
    </w:p>
    <w:p w:rsidR="006145F1" w:rsidRPr="00341581" w:rsidRDefault="006145F1" w:rsidP="006145F1">
      <w:r w:rsidRPr="00341581">
        <w:t xml:space="preserve">QFES was established as a department on 1 November 2013 under the </w:t>
      </w:r>
      <w:r w:rsidRPr="00341581">
        <w:rPr>
          <w:i/>
        </w:rPr>
        <w:t>Public Service Act</w:t>
      </w:r>
      <w:r w:rsidRPr="00341581">
        <w:rPr>
          <w:i/>
          <w:spacing w:val="-25"/>
        </w:rPr>
        <w:t xml:space="preserve"> </w:t>
      </w:r>
      <w:r w:rsidRPr="00341581">
        <w:rPr>
          <w:i/>
        </w:rPr>
        <w:t>2008</w:t>
      </w:r>
      <w:r w:rsidRPr="00341581">
        <w:rPr>
          <w:i/>
          <w:spacing w:val="-1"/>
        </w:rPr>
        <w:t xml:space="preserve"> </w:t>
      </w:r>
      <w:r w:rsidRPr="00341581">
        <w:t>(</w:t>
      </w:r>
      <w:r w:rsidRPr="00341581">
        <w:rPr>
          <w:i/>
        </w:rPr>
        <w:t xml:space="preserve">Public Service Departmental Arrangements Notice (No. 8) 2013). </w:t>
      </w:r>
      <w:r w:rsidRPr="00341581">
        <w:t>QFES is the primary provider</w:t>
      </w:r>
      <w:r w:rsidRPr="00341581">
        <w:rPr>
          <w:spacing w:val="-33"/>
        </w:rPr>
        <w:t xml:space="preserve"> </w:t>
      </w:r>
      <w:r w:rsidRPr="00341581">
        <w:t>of fire and rescue, emergency management and disaster mitigation programs and services</w:t>
      </w:r>
      <w:r w:rsidRPr="00341581">
        <w:rPr>
          <w:spacing w:val="-38"/>
        </w:rPr>
        <w:t xml:space="preserve"> </w:t>
      </w:r>
      <w:r w:rsidRPr="00341581">
        <w:t>throughout</w:t>
      </w:r>
      <w:r w:rsidRPr="00341581">
        <w:rPr>
          <w:spacing w:val="-1"/>
        </w:rPr>
        <w:t xml:space="preserve"> </w:t>
      </w:r>
      <w:r w:rsidRPr="00341581">
        <w:t xml:space="preserve">Queensland, and includes </w:t>
      </w:r>
      <w:r w:rsidR="00BF51E1">
        <w:t xml:space="preserve">the </w:t>
      </w:r>
      <w:r w:rsidRPr="00341581">
        <w:t>Fire and Rescue</w:t>
      </w:r>
      <w:r w:rsidR="00BF51E1">
        <w:t xml:space="preserve"> Service</w:t>
      </w:r>
      <w:r w:rsidRPr="00341581">
        <w:t xml:space="preserve">, </w:t>
      </w:r>
      <w:r w:rsidR="00CC5772">
        <w:t xml:space="preserve">the </w:t>
      </w:r>
      <w:r w:rsidRPr="00341581">
        <w:t>Rural Fire</w:t>
      </w:r>
      <w:r w:rsidRPr="00341581">
        <w:rPr>
          <w:spacing w:val="-14"/>
        </w:rPr>
        <w:t xml:space="preserve"> </w:t>
      </w:r>
      <w:r w:rsidRPr="00341581">
        <w:t>Service and the State Emergency Service. Through Service Agreements, QFES</w:t>
      </w:r>
      <w:r w:rsidRPr="00341581">
        <w:rPr>
          <w:spacing w:val="-27"/>
        </w:rPr>
        <w:t xml:space="preserve"> </w:t>
      </w:r>
      <w:r w:rsidRPr="00341581">
        <w:t>also supports other emergency response volunteer organisations/agencies including Surf Life</w:t>
      </w:r>
      <w:r w:rsidRPr="00341581">
        <w:rPr>
          <w:spacing w:val="-22"/>
        </w:rPr>
        <w:t xml:space="preserve"> </w:t>
      </w:r>
      <w:r w:rsidRPr="00341581">
        <w:t>Saving</w:t>
      </w:r>
      <w:r w:rsidRPr="00341581">
        <w:rPr>
          <w:spacing w:val="-1"/>
        </w:rPr>
        <w:t xml:space="preserve"> </w:t>
      </w:r>
      <w:r w:rsidRPr="00341581">
        <w:t>Queensland, Royal Life Saving Society Queensland, Australian Volunteer Coast Guard</w:t>
      </w:r>
      <w:r w:rsidRPr="00341581">
        <w:rPr>
          <w:spacing w:val="-32"/>
        </w:rPr>
        <w:t xml:space="preserve"> </w:t>
      </w:r>
      <w:r w:rsidRPr="00341581">
        <w:t>Association</w:t>
      </w:r>
      <w:r w:rsidRPr="00341581">
        <w:rPr>
          <w:spacing w:val="-3"/>
        </w:rPr>
        <w:t xml:space="preserve"> </w:t>
      </w:r>
      <w:r w:rsidRPr="00341581">
        <w:t>and Volunteer Marine Rescue Association</w:t>
      </w:r>
      <w:r w:rsidRPr="00341581">
        <w:rPr>
          <w:spacing w:val="-18"/>
        </w:rPr>
        <w:t xml:space="preserve"> </w:t>
      </w:r>
      <w:r w:rsidRPr="00341581">
        <w:t>Queensland.</w:t>
      </w:r>
    </w:p>
    <w:p w:rsidR="006145F1" w:rsidRPr="00341581" w:rsidRDefault="006145F1" w:rsidP="006145F1">
      <w:pPr>
        <w:pStyle w:val="BodyText"/>
        <w:ind w:left="1" w:hanging="1"/>
      </w:pPr>
      <w:r w:rsidRPr="00341581">
        <w:t>It is the role of QFES to provide leadership, mitigation planning and respons</w:t>
      </w:r>
      <w:r w:rsidR="00CC5772">
        <w:t>e</w:t>
      </w:r>
      <w:r w:rsidRPr="00341581">
        <w:t xml:space="preserve"> service</w:t>
      </w:r>
      <w:r w:rsidR="00CC5772">
        <w:t>s</w:t>
      </w:r>
      <w:r w:rsidRPr="00341581">
        <w:t xml:space="preserve"> to</w:t>
      </w:r>
      <w:r w:rsidRPr="00341581">
        <w:rPr>
          <w:spacing w:val="-23"/>
        </w:rPr>
        <w:t xml:space="preserve"> </w:t>
      </w:r>
      <w:r w:rsidRPr="00341581">
        <w:t>the</w:t>
      </w:r>
      <w:r w:rsidRPr="00341581">
        <w:rPr>
          <w:spacing w:val="-1"/>
        </w:rPr>
        <w:t xml:space="preserve"> </w:t>
      </w:r>
      <w:r w:rsidRPr="00341581">
        <w:t>community. QFES aims to protect persons, property and the environment through the</w:t>
      </w:r>
      <w:r w:rsidRPr="00341581">
        <w:rPr>
          <w:spacing w:val="-25"/>
        </w:rPr>
        <w:t xml:space="preserve"> </w:t>
      </w:r>
      <w:r w:rsidRPr="00341581">
        <w:t>continued</w:t>
      </w:r>
      <w:r w:rsidRPr="00341581">
        <w:rPr>
          <w:spacing w:val="-1"/>
        </w:rPr>
        <w:t xml:space="preserve"> </w:t>
      </w:r>
      <w:r w:rsidRPr="00341581">
        <w:t>delivery of emergency services, awareness programs, response capability and capacity, and</w:t>
      </w:r>
      <w:r w:rsidRPr="00341581">
        <w:rPr>
          <w:spacing w:val="-36"/>
        </w:rPr>
        <w:t xml:space="preserve"> </w:t>
      </w:r>
      <w:r w:rsidRPr="00341581">
        <w:t>incident</w:t>
      </w:r>
      <w:r w:rsidRPr="00341581">
        <w:rPr>
          <w:spacing w:val="-1"/>
        </w:rPr>
        <w:t xml:space="preserve"> </w:t>
      </w:r>
      <w:r w:rsidRPr="00341581">
        <w:t>response and recovery for a safer Queensland.</w:t>
      </w:r>
    </w:p>
    <w:p w:rsidR="00650004" w:rsidRDefault="00650004">
      <w:pPr>
        <w:rPr>
          <w:rFonts w:ascii="Arial Bold" w:eastAsia="Calibri" w:hAnsi="Arial Bold"/>
          <w:b/>
          <w:bCs/>
          <w:sz w:val="28"/>
          <w14:ligatures w14:val="standardContextual"/>
        </w:rPr>
      </w:pPr>
      <w:r>
        <w:br w:type="page"/>
      </w:r>
    </w:p>
    <w:p w:rsidR="006145F1" w:rsidRPr="001D617A" w:rsidRDefault="006145F1" w:rsidP="00B81DAB">
      <w:pPr>
        <w:pStyle w:val="Heading3"/>
      </w:pPr>
      <w:r w:rsidRPr="001D617A">
        <w:lastRenderedPageBreak/>
        <w:t>Queensland Police Service</w:t>
      </w:r>
    </w:p>
    <w:p w:rsidR="006145F1" w:rsidRDefault="006145F1" w:rsidP="006145F1">
      <w:r w:rsidRPr="00341581">
        <w:t xml:space="preserve">The Police Department was initially established by the </w:t>
      </w:r>
      <w:r w:rsidRPr="00341581">
        <w:rPr>
          <w:i/>
        </w:rPr>
        <w:t xml:space="preserve">Police Act of 1863 </w:t>
      </w:r>
      <w:r w:rsidRPr="00341581">
        <w:t>which took effect</w:t>
      </w:r>
      <w:r w:rsidRPr="00341581">
        <w:rPr>
          <w:spacing w:val="-30"/>
        </w:rPr>
        <w:t xml:space="preserve"> </w:t>
      </w:r>
      <w:r w:rsidRPr="00341581">
        <w:t xml:space="preserve">on </w:t>
      </w:r>
      <w:r>
        <w:t>1 January </w:t>
      </w:r>
      <w:r w:rsidRPr="00341581">
        <w:t>1864</w:t>
      </w:r>
      <w:r w:rsidRPr="00341581">
        <w:rPr>
          <w:i/>
        </w:rPr>
        <w:t xml:space="preserve">. </w:t>
      </w:r>
      <w:r w:rsidRPr="00341581">
        <w:t>The QPS works with the community to stop crime and make Queensland</w:t>
      </w:r>
      <w:r w:rsidRPr="00341581">
        <w:rPr>
          <w:spacing w:val="-27"/>
        </w:rPr>
        <w:t xml:space="preserve"> </w:t>
      </w:r>
      <w:r w:rsidRPr="00341581">
        <w:t>safer. The QPS is responsible for service delivery 24 hours a day, seven days a week, focused</w:t>
      </w:r>
      <w:r w:rsidRPr="00341581">
        <w:rPr>
          <w:spacing w:val="-21"/>
        </w:rPr>
        <w:t xml:space="preserve"> </w:t>
      </w:r>
      <w:r w:rsidRPr="00341581">
        <w:t>on</w:t>
      </w:r>
      <w:r w:rsidRPr="00341581">
        <w:rPr>
          <w:spacing w:val="-1"/>
        </w:rPr>
        <w:t xml:space="preserve"> </w:t>
      </w:r>
      <w:r w:rsidRPr="00341581">
        <w:t>preserving peace and good order, protecting the community, preventing and detecting</w:t>
      </w:r>
      <w:r w:rsidRPr="00341581">
        <w:rPr>
          <w:spacing w:val="-21"/>
        </w:rPr>
        <w:t xml:space="preserve"> </w:t>
      </w:r>
      <w:r w:rsidRPr="00341581">
        <w:t>crime,</w:t>
      </w:r>
      <w:r w:rsidRPr="00341581">
        <w:rPr>
          <w:spacing w:val="-1"/>
        </w:rPr>
        <w:t xml:space="preserve"> </w:t>
      </w:r>
      <w:r w:rsidRPr="00341581">
        <w:t>administering the law fairly and efficiently, and bringing offenders to justice. This is achieved</w:t>
      </w:r>
      <w:r w:rsidRPr="00341581">
        <w:rPr>
          <w:spacing w:val="-25"/>
        </w:rPr>
        <w:t xml:space="preserve"> </w:t>
      </w:r>
      <w:r w:rsidRPr="00341581">
        <w:t>by</w:t>
      </w:r>
      <w:r w:rsidRPr="00341581">
        <w:rPr>
          <w:spacing w:val="-1"/>
        </w:rPr>
        <w:t xml:space="preserve"> </w:t>
      </w:r>
      <w:r w:rsidRPr="00341581">
        <w:t>using technology and innovative strategies to enable a mobile, flexible and agile delivery of</w:t>
      </w:r>
      <w:r w:rsidRPr="00341581">
        <w:rPr>
          <w:spacing w:val="-37"/>
        </w:rPr>
        <w:t xml:space="preserve"> </w:t>
      </w:r>
      <w:r w:rsidRPr="00341581">
        <w:t>services</w:t>
      </w:r>
      <w:r w:rsidRPr="00341581">
        <w:rPr>
          <w:spacing w:val="-1"/>
        </w:rPr>
        <w:t xml:space="preserve"> </w:t>
      </w:r>
      <w:r w:rsidRPr="00341581">
        <w:t xml:space="preserve">to address community needs. </w:t>
      </w:r>
    </w:p>
    <w:p w:rsidR="00650004" w:rsidRDefault="00650004">
      <w:pPr>
        <w:rPr>
          <w:rFonts w:ascii="Arial Bold" w:eastAsia="Times New Roman" w:hAnsi="Arial Bold"/>
          <w:b/>
          <w:i/>
          <w:color w:val="AB054C"/>
          <w:sz w:val="36"/>
          <w14:ligatures w14:val="standardContextual"/>
        </w:rPr>
      </w:pPr>
      <w:bookmarkStart w:id="47" w:name="_Toc446075105"/>
      <w:r>
        <w:br w:type="page"/>
      </w:r>
    </w:p>
    <w:p w:rsidR="006145F1" w:rsidRPr="00341581" w:rsidRDefault="006145F1" w:rsidP="00C60996">
      <w:pPr>
        <w:pStyle w:val="Heading2"/>
      </w:pPr>
      <w:bookmarkStart w:id="48" w:name="_Toc460406670"/>
      <w:bookmarkStart w:id="49" w:name="_Toc460406820"/>
      <w:bookmarkStart w:id="50" w:name="_Toc460406856"/>
      <w:bookmarkStart w:id="51" w:name="_Toc460406935"/>
      <w:bookmarkStart w:id="52" w:name="_Toc460407049"/>
      <w:bookmarkStart w:id="53" w:name="_Toc460487952"/>
      <w:r w:rsidRPr="00341581">
        <w:lastRenderedPageBreak/>
        <w:t>L</w:t>
      </w:r>
      <w:r>
        <w:t>egislation administered by the p</w:t>
      </w:r>
      <w:r w:rsidRPr="00341581">
        <w:t>ortfolio</w:t>
      </w:r>
      <w:bookmarkEnd w:id="47"/>
      <w:bookmarkEnd w:id="48"/>
      <w:bookmarkEnd w:id="49"/>
      <w:bookmarkEnd w:id="50"/>
      <w:bookmarkEnd w:id="51"/>
      <w:bookmarkEnd w:id="52"/>
      <w:bookmarkEnd w:id="53"/>
    </w:p>
    <w:p w:rsidR="006145F1" w:rsidRPr="00991936" w:rsidRDefault="006145F1" w:rsidP="006145F1">
      <w:r w:rsidRPr="00314576">
        <w:t xml:space="preserve">In accordance with </w:t>
      </w:r>
      <w:r w:rsidRPr="00314576">
        <w:rPr>
          <w:i/>
        </w:rPr>
        <w:t>Administrative Arrangements Order (No. 3) 2015</w:t>
      </w:r>
      <w:r w:rsidRPr="00314576">
        <w:t xml:space="preserve">, </w:t>
      </w:r>
      <w:r>
        <w:t xml:space="preserve">during 2015-16 </w:t>
      </w:r>
      <w:r w:rsidRPr="00314576">
        <w:t>the portfolio administer</w:t>
      </w:r>
      <w:r>
        <w:t>ed</w:t>
      </w:r>
      <w:r w:rsidRPr="00314576">
        <w:t xml:space="preserve"> the following legislation:</w:t>
      </w:r>
    </w:p>
    <w:tbl>
      <w:tblPr>
        <w:tblStyle w:val="PlainTable210"/>
        <w:tblW w:w="0" w:type="auto"/>
        <w:tblLook w:val="04A0" w:firstRow="1" w:lastRow="0" w:firstColumn="1" w:lastColumn="0" w:noHBand="0" w:noVBand="1"/>
      </w:tblPr>
      <w:tblGrid>
        <w:gridCol w:w="2560"/>
        <w:gridCol w:w="7412"/>
      </w:tblGrid>
      <w:tr w:rsidR="006145F1" w:rsidRPr="00341581" w:rsidTr="00926C8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71" w:type="dxa"/>
            <w:tcBorders>
              <w:top w:val="nil"/>
              <w:bottom w:val="single" w:sz="4" w:space="0" w:color="AB054B"/>
            </w:tcBorders>
            <w:shd w:val="clear" w:color="auto" w:fill="AB054C"/>
          </w:tcPr>
          <w:p w:rsidR="006145F1" w:rsidRPr="00CC416C" w:rsidRDefault="006145F1" w:rsidP="0050079D">
            <w:pPr>
              <w:spacing w:before="0"/>
              <w:rPr>
                <w:color w:val="FFFFFF" w:themeColor="background1"/>
                <w:sz w:val="24"/>
                <w:szCs w:val="22"/>
              </w:rPr>
            </w:pPr>
            <w:r w:rsidRPr="00CC416C">
              <w:rPr>
                <w:color w:val="FFFFFF" w:themeColor="background1"/>
                <w:sz w:val="24"/>
                <w:szCs w:val="22"/>
              </w:rPr>
              <w:t>Agency</w:t>
            </w:r>
          </w:p>
        </w:tc>
        <w:tc>
          <w:tcPr>
            <w:tcW w:w="7453" w:type="dxa"/>
            <w:tcBorders>
              <w:top w:val="nil"/>
              <w:bottom w:val="single" w:sz="4" w:space="0" w:color="AB054B"/>
            </w:tcBorders>
            <w:shd w:val="clear" w:color="auto" w:fill="AB054C"/>
          </w:tcPr>
          <w:p w:rsidR="006145F1" w:rsidRPr="00CC416C" w:rsidRDefault="006145F1" w:rsidP="0050079D">
            <w:pPr>
              <w:spacing w:before="0"/>
              <w:cnfStyle w:val="100000000000" w:firstRow="1" w:lastRow="0" w:firstColumn="0" w:lastColumn="0" w:oddVBand="0" w:evenVBand="0" w:oddHBand="0" w:evenHBand="0" w:firstRowFirstColumn="0" w:firstRowLastColumn="0" w:lastRowFirstColumn="0" w:lastRowLastColumn="0"/>
              <w:rPr>
                <w:color w:val="FFFFFF" w:themeColor="background1"/>
                <w:sz w:val="24"/>
                <w:szCs w:val="22"/>
              </w:rPr>
            </w:pPr>
            <w:r w:rsidRPr="00CC416C">
              <w:rPr>
                <w:color w:val="FFFFFF" w:themeColor="background1"/>
                <w:sz w:val="24"/>
                <w:szCs w:val="22"/>
              </w:rPr>
              <w:t>Legislation administered</w:t>
            </w:r>
          </w:p>
        </w:tc>
      </w:tr>
      <w:tr w:rsidR="006145F1" w:rsidRPr="00341581" w:rsidTr="00926C81">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571" w:type="dxa"/>
            <w:tcBorders>
              <w:top w:val="single" w:sz="4" w:space="0" w:color="AB054B"/>
              <w:bottom w:val="single" w:sz="4" w:space="0" w:color="AB054B"/>
            </w:tcBorders>
          </w:tcPr>
          <w:p w:rsidR="006145F1" w:rsidRPr="00341581" w:rsidRDefault="006145F1" w:rsidP="0050079D">
            <w:pPr>
              <w:spacing w:after="120"/>
              <w:rPr>
                <w:szCs w:val="22"/>
              </w:rPr>
            </w:pPr>
            <w:r w:rsidRPr="00341581">
              <w:rPr>
                <w:szCs w:val="22"/>
              </w:rPr>
              <w:t>PSBA</w:t>
            </w:r>
          </w:p>
        </w:tc>
        <w:tc>
          <w:tcPr>
            <w:tcW w:w="7453" w:type="dxa"/>
            <w:tcBorders>
              <w:top w:val="single" w:sz="4" w:space="0" w:color="AB054B"/>
              <w:bottom w:val="single" w:sz="4" w:space="0" w:color="AB054B"/>
            </w:tcBorders>
          </w:tcPr>
          <w:p w:rsidR="006145F1" w:rsidRPr="00341581" w:rsidRDefault="006145F1" w:rsidP="00B40B59">
            <w:pPr>
              <w:numPr>
                <w:ilvl w:val="0"/>
                <w:numId w:val="27"/>
              </w:numPr>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Public Safety Business Agency Act 2014</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State Buildings Protective Security Act 1983</w:t>
            </w:r>
          </w:p>
          <w:p w:rsidR="006145F1" w:rsidRPr="00C336B0" w:rsidRDefault="006145F1" w:rsidP="00B40B59">
            <w:pPr>
              <w:numPr>
                <w:ilvl w:val="0"/>
                <w:numId w:val="27"/>
              </w:numPr>
              <w:spacing w:before="0" w:after="12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Working with Children (Risk Management and Screening) Act 2000</w:t>
            </w:r>
          </w:p>
        </w:tc>
      </w:tr>
      <w:tr w:rsidR="006145F1" w:rsidRPr="00341581" w:rsidTr="00926C81">
        <w:tc>
          <w:tcPr>
            <w:cnfStyle w:val="001000000000" w:firstRow="0" w:lastRow="0" w:firstColumn="1" w:lastColumn="0" w:oddVBand="0" w:evenVBand="0" w:oddHBand="0" w:evenHBand="0" w:firstRowFirstColumn="0" w:firstRowLastColumn="0" w:lastRowFirstColumn="0" w:lastRowLastColumn="0"/>
            <w:tcW w:w="2571" w:type="dxa"/>
            <w:tcBorders>
              <w:top w:val="single" w:sz="4" w:space="0" w:color="AB054B"/>
              <w:bottom w:val="single" w:sz="4" w:space="0" w:color="AB054B"/>
              <w:right w:val="nil"/>
            </w:tcBorders>
          </w:tcPr>
          <w:p w:rsidR="006145F1" w:rsidRPr="00341581" w:rsidRDefault="006145F1" w:rsidP="0050079D">
            <w:pPr>
              <w:spacing w:after="120"/>
              <w:rPr>
                <w:szCs w:val="22"/>
              </w:rPr>
            </w:pPr>
            <w:r w:rsidRPr="00341581">
              <w:rPr>
                <w:szCs w:val="22"/>
              </w:rPr>
              <w:t>QFES</w:t>
            </w:r>
          </w:p>
        </w:tc>
        <w:tc>
          <w:tcPr>
            <w:tcW w:w="7453" w:type="dxa"/>
            <w:tcBorders>
              <w:top w:val="single" w:sz="4" w:space="0" w:color="AB054B"/>
              <w:left w:val="nil"/>
              <w:bottom w:val="single" w:sz="4" w:space="0" w:color="AB054B"/>
            </w:tcBorders>
          </w:tcPr>
          <w:p w:rsidR="006145F1" w:rsidRPr="00341581" w:rsidRDefault="006145F1" w:rsidP="00B40B59">
            <w:pPr>
              <w:numPr>
                <w:ilvl w:val="0"/>
                <w:numId w:val="27"/>
              </w:numPr>
              <w:cnfStyle w:val="000000000000" w:firstRow="0" w:lastRow="0" w:firstColumn="0" w:lastColumn="0" w:oddVBand="0" w:evenVBand="0" w:oddHBand="0" w:evenHBand="0" w:firstRowFirstColumn="0" w:firstRowLastColumn="0" w:lastRowFirstColumn="0" w:lastRowLastColumn="0"/>
              <w:rPr>
                <w:i/>
                <w:szCs w:val="22"/>
              </w:rPr>
            </w:pPr>
            <w:r w:rsidRPr="00341581">
              <w:rPr>
                <w:i/>
                <w:szCs w:val="22"/>
              </w:rPr>
              <w:t>Disaster Management Act 2003</w:t>
            </w:r>
          </w:p>
          <w:p w:rsidR="006145F1" w:rsidRPr="00C336B0" w:rsidRDefault="006145F1" w:rsidP="00B40B59">
            <w:pPr>
              <w:numPr>
                <w:ilvl w:val="0"/>
                <w:numId w:val="27"/>
              </w:numPr>
              <w:spacing w:before="0" w:after="120"/>
              <w:cnfStyle w:val="000000000000" w:firstRow="0" w:lastRow="0" w:firstColumn="0" w:lastColumn="0" w:oddVBand="0" w:evenVBand="0" w:oddHBand="0" w:evenHBand="0" w:firstRowFirstColumn="0" w:firstRowLastColumn="0" w:lastRowFirstColumn="0" w:lastRowLastColumn="0"/>
              <w:rPr>
                <w:i/>
                <w:szCs w:val="22"/>
              </w:rPr>
            </w:pPr>
            <w:r w:rsidRPr="00341581">
              <w:rPr>
                <w:i/>
                <w:szCs w:val="22"/>
              </w:rPr>
              <w:t>Fire and Emergency Services Act 1990</w:t>
            </w:r>
          </w:p>
        </w:tc>
      </w:tr>
      <w:tr w:rsidR="006145F1" w:rsidRPr="00341581" w:rsidTr="00926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1" w:type="dxa"/>
            <w:tcBorders>
              <w:top w:val="single" w:sz="4" w:space="0" w:color="AB054B"/>
              <w:bottom w:val="single" w:sz="4" w:space="0" w:color="AB054B"/>
              <w:right w:val="nil"/>
            </w:tcBorders>
          </w:tcPr>
          <w:p w:rsidR="006145F1" w:rsidRPr="00341581" w:rsidRDefault="006145F1" w:rsidP="0050079D">
            <w:pPr>
              <w:spacing w:after="120"/>
              <w:rPr>
                <w:szCs w:val="22"/>
              </w:rPr>
            </w:pPr>
            <w:r w:rsidRPr="00341581">
              <w:rPr>
                <w:szCs w:val="22"/>
              </w:rPr>
              <w:t>QPS</w:t>
            </w:r>
          </w:p>
        </w:tc>
        <w:tc>
          <w:tcPr>
            <w:tcW w:w="7453" w:type="dxa"/>
            <w:tcBorders>
              <w:top w:val="single" w:sz="4" w:space="0" w:color="AB054B"/>
              <w:left w:val="nil"/>
              <w:bottom w:val="single" w:sz="4" w:space="0" w:color="AB054B"/>
            </w:tcBorders>
          </w:tcPr>
          <w:p w:rsidR="006145F1" w:rsidRPr="00341581" w:rsidRDefault="006145F1" w:rsidP="00B40B59">
            <w:pPr>
              <w:numPr>
                <w:ilvl w:val="0"/>
                <w:numId w:val="27"/>
              </w:numPr>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Australian Crime Commission (Queensland) Act 2003</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Child Protection (Offender Prohibition Order) Act 2008</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Child Protection (Offender Reporting) Act 2004</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G20 (Safety and Security) Act 2013</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Police Powers and Responsibilities Act 2000</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Police Service Administration Act 1990</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Public Safety Preservation Act 1986</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Queensland Police Welfare Club Act 1970</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Summary Offences Act 2005</w:t>
            </w:r>
          </w:p>
          <w:p w:rsidR="006145F1" w:rsidRPr="00341581" w:rsidRDefault="006145F1" w:rsidP="00B40B59">
            <w:pPr>
              <w:numPr>
                <w:ilvl w:val="0"/>
                <w:numId w:val="27"/>
              </w:numPr>
              <w:spacing w:before="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Terrorism (Preventative Detention) Act 2005</w:t>
            </w:r>
          </w:p>
          <w:p w:rsidR="006145F1" w:rsidRPr="00C336B0" w:rsidRDefault="006145F1" w:rsidP="00B40B59">
            <w:pPr>
              <w:numPr>
                <w:ilvl w:val="0"/>
                <w:numId w:val="27"/>
              </w:numPr>
              <w:spacing w:before="0" w:after="120"/>
              <w:cnfStyle w:val="000000100000" w:firstRow="0" w:lastRow="0" w:firstColumn="0" w:lastColumn="0" w:oddVBand="0" w:evenVBand="0" w:oddHBand="1" w:evenHBand="0" w:firstRowFirstColumn="0" w:firstRowLastColumn="0" w:lastRowFirstColumn="0" w:lastRowLastColumn="0"/>
              <w:rPr>
                <w:i/>
                <w:szCs w:val="22"/>
              </w:rPr>
            </w:pPr>
            <w:r w:rsidRPr="00341581">
              <w:rPr>
                <w:i/>
                <w:szCs w:val="22"/>
              </w:rPr>
              <w:t>Weapons Act 1990</w:t>
            </w:r>
          </w:p>
        </w:tc>
      </w:tr>
    </w:tbl>
    <w:p w:rsidR="006145F1" w:rsidRDefault="006145F1" w:rsidP="00C60996">
      <w:pPr>
        <w:pStyle w:val="Heading2"/>
      </w:pPr>
      <w:bookmarkStart w:id="54" w:name="_Toc446075106"/>
      <w:r>
        <w:br w:type="page"/>
      </w:r>
    </w:p>
    <w:p w:rsidR="006145F1" w:rsidRDefault="006145F1" w:rsidP="00C60996">
      <w:pPr>
        <w:pStyle w:val="Heading2"/>
      </w:pPr>
      <w:bookmarkStart w:id="55" w:name="_Toc460406671"/>
      <w:bookmarkStart w:id="56" w:name="_Toc460406821"/>
      <w:bookmarkStart w:id="57" w:name="_Toc460406857"/>
      <w:bookmarkStart w:id="58" w:name="_Toc460406936"/>
      <w:bookmarkStart w:id="59" w:name="_Toc460407050"/>
      <w:bookmarkStart w:id="60" w:name="_Toc460487953"/>
      <w:r w:rsidRPr="00341581">
        <w:lastRenderedPageBreak/>
        <w:t>Machinery-of-government changes</w:t>
      </w:r>
      <w:bookmarkEnd w:id="54"/>
      <w:bookmarkEnd w:id="55"/>
      <w:bookmarkEnd w:id="56"/>
      <w:bookmarkEnd w:id="57"/>
      <w:bookmarkEnd w:id="58"/>
      <w:bookmarkEnd w:id="59"/>
      <w:bookmarkEnd w:id="60"/>
    </w:p>
    <w:tbl>
      <w:tblPr>
        <w:tblStyle w:val="FinancialTable"/>
        <w:tblW w:w="0" w:type="auto"/>
        <w:tblLayout w:type="fixed"/>
        <w:tblLook w:val="04A0" w:firstRow="1" w:lastRow="0" w:firstColumn="1" w:lastColumn="0" w:noHBand="0" w:noVBand="1"/>
      </w:tblPr>
      <w:tblGrid>
        <w:gridCol w:w="1560"/>
        <w:gridCol w:w="8582"/>
      </w:tblGrid>
      <w:tr w:rsidR="006145F1" w:rsidTr="009C325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B054C"/>
              <w:left w:val="single" w:sz="12" w:space="0" w:color="AB054C"/>
              <w:bottom w:val="nil"/>
            </w:tcBorders>
            <w:shd w:val="clear" w:color="auto" w:fill="AB054C"/>
          </w:tcPr>
          <w:p w:rsidR="006145F1" w:rsidRPr="00CC416C" w:rsidRDefault="006145F1" w:rsidP="0050079D">
            <w:pPr>
              <w:pStyle w:val="ListParagraph"/>
              <w:spacing w:before="0"/>
              <w:ind w:left="142" w:right="142"/>
              <w:contextualSpacing w:val="0"/>
              <w:rPr>
                <w:b/>
                <w:color w:val="FFFFFF" w:themeColor="background1"/>
                <w:sz w:val="24"/>
              </w:rPr>
            </w:pPr>
            <w:r w:rsidRPr="00CC416C">
              <w:rPr>
                <w:b/>
                <w:caps w:val="0"/>
                <w:color w:val="FFFFFF" w:themeColor="background1"/>
                <w:sz w:val="24"/>
              </w:rPr>
              <w:t xml:space="preserve">Date </w:t>
            </w:r>
          </w:p>
        </w:tc>
        <w:tc>
          <w:tcPr>
            <w:tcW w:w="8582" w:type="dxa"/>
            <w:tcBorders>
              <w:top w:val="single" w:sz="12" w:space="0" w:color="AB054C"/>
              <w:bottom w:val="nil"/>
              <w:right w:val="single" w:sz="12" w:space="0" w:color="AB054C"/>
            </w:tcBorders>
            <w:shd w:val="clear" w:color="auto" w:fill="AB054C"/>
          </w:tcPr>
          <w:p w:rsidR="006145F1" w:rsidRPr="00CC416C" w:rsidRDefault="006145F1" w:rsidP="0050079D">
            <w:pPr>
              <w:pStyle w:val="ListParagraph"/>
              <w:spacing w:before="0"/>
              <w:ind w:left="142" w:right="142"/>
              <w:contextualSpacing w:val="0"/>
              <w:cnfStyle w:val="100000000000" w:firstRow="1" w:lastRow="0" w:firstColumn="0" w:lastColumn="0" w:oddVBand="0" w:evenVBand="0" w:oddHBand="0" w:evenHBand="0" w:firstRowFirstColumn="0" w:firstRowLastColumn="0" w:lastRowFirstColumn="0" w:lastRowLastColumn="0"/>
              <w:rPr>
                <w:b/>
                <w:color w:val="FFFFFF" w:themeColor="background1"/>
                <w:sz w:val="24"/>
              </w:rPr>
            </w:pPr>
            <w:r w:rsidRPr="00CC416C">
              <w:rPr>
                <w:b/>
                <w:caps w:val="0"/>
                <w:color w:val="FFFFFF" w:themeColor="background1"/>
                <w:sz w:val="24"/>
              </w:rPr>
              <w:t xml:space="preserve">Changes </w:t>
            </w:r>
          </w:p>
        </w:tc>
      </w:tr>
      <w:tr w:rsidR="006145F1" w:rsidTr="009C3253">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4" w:space="0" w:color="AB054C"/>
            </w:tcBorders>
          </w:tcPr>
          <w:p w:rsidR="006145F1" w:rsidRPr="00F96936" w:rsidRDefault="00B50C2F" w:rsidP="0050079D">
            <w:pPr>
              <w:spacing w:after="120"/>
              <w:ind w:left="112" w:right="127"/>
              <w:rPr>
                <w:b w:val="0"/>
              </w:rPr>
            </w:pPr>
            <w:r>
              <w:rPr>
                <w:b w:val="0"/>
              </w:rPr>
              <w:t>1 July 2015</w:t>
            </w:r>
          </w:p>
        </w:tc>
        <w:tc>
          <w:tcPr>
            <w:tcW w:w="8582" w:type="dxa"/>
            <w:tcBorders>
              <w:top w:val="nil"/>
              <w:bottom w:val="single" w:sz="4" w:space="0" w:color="AB054C"/>
            </w:tcBorders>
          </w:tcPr>
          <w:p w:rsidR="006145F1" w:rsidRDefault="006145F1" w:rsidP="000420D0">
            <w:pPr>
              <w:spacing w:after="120"/>
              <w:ind w:left="156" w:right="0"/>
              <w:cnfStyle w:val="000000000000" w:firstRow="0" w:lastRow="0" w:firstColumn="0" w:lastColumn="0" w:oddVBand="0" w:evenVBand="0" w:oddHBand="0" w:evenHBand="0" w:firstRowFirstColumn="0" w:firstRowLastColumn="0" w:lastRowFirstColumn="0" w:lastRowLastColumn="0"/>
              <w:rPr>
                <w:rFonts w:eastAsia="Calibri"/>
                <w:szCs w:val="22"/>
              </w:rPr>
            </w:pPr>
            <w:r>
              <w:rPr>
                <w:szCs w:val="22"/>
              </w:rPr>
              <w:t xml:space="preserve">The transfer of Community Helicopter Providers from </w:t>
            </w:r>
            <w:r w:rsidR="000420D0">
              <w:rPr>
                <w:szCs w:val="22"/>
              </w:rPr>
              <w:t xml:space="preserve">Queensland </w:t>
            </w:r>
            <w:r>
              <w:rPr>
                <w:szCs w:val="22"/>
              </w:rPr>
              <w:t>Health to the PSBA became effective.</w:t>
            </w:r>
          </w:p>
        </w:tc>
      </w:tr>
      <w:tr w:rsidR="006145F1" w:rsidTr="009C325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B054C"/>
              <w:bottom w:val="single" w:sz="4" w:space="0" w:color="AB054C"/>
            </w:tcBorders>
          </w:tcPr>
          <w:p w:rsidR="006145F1" w:rsidRPr="00F96936" w:rsidRDefault="006145F1" w:rsidP="0050079D">
            <w:pPr>
              <w:spacing w:after="120"/>
              <w:ind w:left="112" w:right="127"/>
              <w:rPr>
                <w:rFonts w:eastAsia="Calibri"/>
                <w:b w:val="0"/>
                <w:szCs w:val="22"/>
              </w:rPr>
            </w:pPr>
            <w:r w:rsidRPr="009E77F0">
              <w:rPr>
                <w:b w:val="0"/>
              </w:rPr>
              <w:t>1 July 2016</w:t>
            </w:r>
          </w:p>
        </w:tc>
        <w:tc>
          <w:tcPr>
            <w:tcW w:w="8582" w:type="dxa"/>
            <w:tcBorders>
              <w:top w:val="single" w:sz="4" w:space="0" w:color="AB054C"/>
              <w:bottom w:val="single" w:sz="4" w:space="0" w:color="AB054C"/>
            </w:tcBorders>
          </w:tcPr>
          <w:p w:rsidR="006145F1" w:rsidRDefault="006145F1" w:rsidP="0050079D">
            <w:pPr>
              <w:spacing w:after="120"/>
              <w:cnfStyle w:val="000000000000" w:firstRow="0" w:lastRow="0" w:firstColumn="0" w:lastColumn="0" w:oddVBand="0" w:evenVBand="0" w:oddHBand="0" w:evenHBand="0" w:firstRowFirstColumn="0" w:firstRowLastColumn="0" w:lastRowFirstColumn="0" w:lastRowLastColumn="0"/>
            </w:pPr>
            <w:r>
              <w:t xml:space="preserve">As a result of the </w:t>
            </w:r>
            <w:r w:rsidRPr="005E358E">
              <w:rPr>
                <w:i/>
              </w:rPr>
              <w:t>Review of the Public Safety Business Agency</w:t>
            </w:r>
            <w:r>
              <w:t xml:space="preserve"> (November 2015), the following machinery-of-government changes will occur as outlined in the </w:t>
            </w:r>
            <w:r w:rsidRPr="001716C6">
              <w:rPr>
                <w:i/>
              </w:rPr>
              <w:t>Public Service Departmental Arrangements Notice (No. 2) 2016</w:t>
            </w:r>
            <w:r>
              <w:t>:</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Media (QPS) will transition to QPS</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Media (QFES) will transition to QFES</w:t>
            </w:r>
          </w:p>
          <w:p w:rsidR="006145F1" w:rsidRPr="00056A9C"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pPr>
            <w:r w:rsidRPr="002C4867">
              <w:rPr>
                <w:szCs w:val="22"/>
              </w:rPr>
              <w:t>PSBA Content and Multimedia will transition to QFES</w:t>
            </w:r>
          </w:p>
          <w:p w:rsidR="006145F1" w:rsidRPr="00056A9C" w:rsidRDefault="009E780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pPr>
            <w:r>
              <w:rPr>
                <w:szCs w:val="22"/>
              </w:rPr>
              <w:t>T</w:t>
            </w:r>
            <w:r w:rsidR="006145F1" w:rsidRPr="002C4867">
              <w:rPr>
                <w:szCs w:val="22"/>
              </w:rPr>
              <w:t xml:space="preserve">raining and </w:t>
            </w:r>
            <w:r>
              <w:rPr>
                <w:szCs w:val="22"/>
              </w:rPr>
              <w:t>D</w:t>
            </w:r>
            <w:r w:rsidR="006145F1" w:rsidRPr="002C4867">
              <w:rPr>
                <w:szCs w:val="22"/>
              </w:rPr>
              <w:t xml:space="preserve">evelopment (including training academies) will transition to </w:t>
            </w:r>
            <w:r w:rsidR="002755B8">
              <w:rPr>
                <w:szCs w:val="22"/>
              </w:rPr>
              <w:t xml:space="preserve">QFES and </w:t>
            </w:r>
            <w:r w:rsidR="006145F1"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Recruitment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Strategy Division will transition to </w:t>
            </w:r>
            <w:r w:rsidR="002755B8">
              <w:rPr>
                <w:szCs w:val="22"/>
              </w:rPr>
              <w:t xml:space="preserve">QFES and </w:t>
            </w:r>
            <w:r w:rsidRPr="002C4867">
              <w:rPr>
                <w:szCs w:val="22"/>
              </w:rPr>
              <w:t>QPS; including the Office of the General Manager, the Office of the Executive Director (Strategy and Consulting), Policy, Engagement (including the Drug and Alcohol Coordination Unit), Planning, Performance, Innovation, Governance and Legislation</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Ministerial and Executive Services will transition to Q</w:t>
            </w:r>
            <w:r w:rsidR="002755B8">
              <w:rPr>
                <w:szCs w:val="22"/>
              </w:rPr>
              <w:t>FES and Q</w:t>
            </w:r>
            <w:r w:rsidRPr="002C4867">
              <w:rPr>
                <w:szCs w:val="22"/>
              </w:rPr>
              <w:t xml:space="preserve">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Ethical Standards will transition to QFES with one position remaining with PSBA</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Executive Services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Legal Services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Cabinet Legislation and Department Liaison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Right to Information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Levy Management Unit and Business Performance Analysts will transition to QFES</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Safety and Wellbeing will transition to QPS</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 xml:space="preserve">PSBA Workforce Engagement will transition to </w:t>
            </w:r>
            <w:r w:rsidR="002755B8">
              <w:rPr>
                <w:szCs w:val="22"/>
              </w:rPr>
              <w:t xml:space="preserve">QFES and </w:t>
            </w:r>
            <w:r w:rsidRPr="002C4867">
              <w:rPr>
                <w:szCs w:val="22"/>
              </w:rPr>
              <w:t xml:space="preserve">QPS </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Library Services will transition to QPS</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Calibration Laboratory will transition to QPS</w:t>
            </w:r>
          </w:p>
          <w:p w:rsidR="006145F1" w:rsidRPr="002C4867" w:rsidRDefault="006145F1" w:rsidP="00B40B59">
            <w:pPr>
              <w:pStyle w:val="ListParagraph"/>
              <w:numPr>
                <w:ilvl w:val="0"/>
                <w:numId w:val="28"/>
              </w:numPr>
              <w:spacing w:after="120"/>
              <w:ind w:left="440" w:right="0" w:hanging="284"/>
              <w:cnfStyle w:val="000000000000" w:firstRow="0" w:lastRow="0" w:firstColumn="0" w:lastColumn="0" w:oddVBand="0" w:evenVBand="0" w:oddHBand="0" w:evenHBand="0" w:firstRowFirstColumn="0" w:firstRowLastColumn="0" w:lastRowFirstColumn="0" w:lastRowLastColumn="0"/>
              <w:rPr>
                <w:szCs w:val="22"/>
              </w:rPr>
            </w:pPr>
            <w:r w:rsidRPr="002C4867">
              <w:rPr>
                <w:szCs w:val="22"/>
              </w:rPr>
              <w:t>PSBA Evidence Management will transition to QPS</w:t>
            </w:r>
          </w:p>
          <w:p w:rsidR="006145F1" w:rsidRPr="00F96936" w:rsidRDefault="006145F1" w:rsidP="00B40B59">
            <w:pPr>
              <w:pStyle w:val="ListParagraph"/>
              <w:numPr>
                <w:ilvl w:val="0"/>
                <w:numId w:val="28"/>
              </w:numPr>
              <w:spacing w:after="120"/>
              <w:ind w:left="440" w:hanging="284"/>
              <w:cnfStyle w:val="000000000000" w:firstRow="0" w:lastRow="0" w:firstColumn="0" w:lastColumn="0" w:oddVBand="0" w:evenVBand="0" w:oddHBand="0" w:evenHBand="0" w:firstRowFirstColumn="0" w:firstRowLastColumn="0" w:lastRowFirstColumn="0" w:lastRowLastColumn="0"/>
            </w:pPr>
            <w:r w:rsidRPr="002C4867">
              <w:rPr>
                <w:szCs w:val="22"/>
              </w:rPr>
              <w:t>PSBA Forensic Services</w:t>
            </w:r>
            <w:r w:rsidR="004617BE">
              <w:rPr>
                <w:szCs w:val="22"/>
              </w:rPr>
              <w:t>, Technical Support</w:t>
            </w:r>
            <w:r w:rsidRPr="002C4867">
              <w:rPr>
                <w:szCs w:val="22"/>
              </w:rPr>
              <w:t xml:space="preserve"> will transition to QPS.</w:t>
            </w:r>
          </w:p>
        </w:tc>
      </w:tr>
    </w:tbl>
    <w:p w:rsidR="006145F1" w:rsidRDefault="006145F1" w:rsidP="006145F1">
      <w:pPr>
        <w:pStyle w:val="BodyText"/>
      </w:pPr>
      <w:r>
        <w:rPr>
          <w:szCs w:val="22"/>
        </w:rPr>
        <w:t xml:space="preserve">In addition, in line with the </w:t>
      </w:r>
      <w:r w:rsidR="00B50C2F">
        <w:rPr>
          <w:szCs w:val="22"/>
        </w:rPr>
        <w:t xml:space="preserve">Review of the </w:t>
      </w:r>
      <w:r>
        <w:rPr>
          <w:szCs w:val="22"/>
        </w:rPr>
        <w:t>PSBA recommendations, the</w:t>
      </w:r>
      <w:r w:rsidRPr="005A43DD">
        <w:t xml:space="preserve"> </w:t>
      </w:r>
      <w:r w:rsidRPr="005A43DD">
        <w:rPr>
          <w:i/>
        </w:rPr>
        <w:t>Public Safety Business Agency and O</w:t>
      </w:r>
      <w:r>
        <w:rPr>
          <w:i/>
        </w:rPr>
        <w:t>ther Legislation Amendment Bill </w:t>
      </w:r>
      <w:r w:rsidRPr="005A43DD">
        <w:rPr>
          <w:i/>
        </w:rPr>
        <w:t xml:space="preserve">2016 </w:t>
      </w:r>
      <w:r w:rsidRPr="005A43DD">
        <w:t>(the Bill)</w:t>
      </w:r>
      <w:r w:rsidRPr="005A43DD">
        <w:rPr>
          <w:i/>
        </w:rPr>
        <w:t xml:space="preserve"> </w:t>
      </w:r>
      <w:r w:rsidRPr="005A43DD">
        <w:t>was introduced</w:t>
      </w:r>
      <w:r>
        <w:rPr>
          <w:i/>
        </w:rPr>
        <w:t xml:space="preserve"> </w:t>
      </w:r>
      <w:r w:rsidRPr="005A43DD">
        <w:t>into Parliament</w:t>
      </w:r>
      <w:r>
        <w:t xml:space="preserve"> on 24 May 2016</w:t>
      </w:r>
      <w:r w:rsidRPr="005A43DD">
        <w:t xml:space="preserve">. The Bill proposes to implement various recommendations of the review by amending legislation </w:t>
      </w:r>
      <w:r>
        <w:t xml:space="preserve">including finalising the </w:t>
      </w:r>
      <w:r w:rsidRPr="005A43DD">
        <w:t>machinery-of-government changes that will allow Blue Card Services to transition to the Department of Justice and Attorney-General</w:t>
      </w:r>
      <w:r w:rsidR="00203BDC">
        <w:t xml:space="preserve"> (DJAG)</w:t>
      </w:r>
      <w:r w:rsidRPr="005A43DD">
        <w:t xml:space="preserve"> and allow for the comprehensive integration of State Government Security into the QPS.</w:t>
      </w:r>
    </w:p>
    <w:p w:rsidR="006145F1" w:rsidRDefault="006145F1" w:rsidP="006145F1">
      <w:pPr>
        <w:pStyle w:val="BodyText"/>
      </w:pPr>
      <w:r>
        <w:br w:type="page"/>
      </w:r>
    </w:p>
    <w:p w:rsidR="006145F1" w:rsidRPr="006E1C5C" w:rsidRDefault="006145F1" w:rsidP="00C60996">
      <w:pPr>
        <w:pStyle w:val="Heading2"/>
      </w:pPr>
      <w:bookmarkStart w:id="61" w:name="_Toc446075107"/>
      <w:bookmarkStart w:id="62" w:name="_Toc460406672"/>
      <w:bookmarkStart w:id="63" w:name="_Toc460406822"/>
      <w:bookmarkStart w:id="64" w:name="_Toc460406858"/>
      <w:bookmarkStart w:id="65" w:name="_Toc460406937"/>
      <w:bookmarkStart w:id="66" w:name="_Toc460407051"/>
      <w:bookmarkStart w:id="67" w:name="_Toc460487954"/>
      <w:r w:rsidRPr="006E1C5C">
        <w:lastRenderedPageBreak/>
        <w:t>Public safety portfolio committee</w:t>
      </w:r>
      <w:bookmarkEnd w:id="61"/>
      <w:bookmarkEnd w:id="62"/>
      <w:bookmarkEnd w:id="63"/>
      <w:bookmarkEnd w:id="64"/>
      <w:bookmarkEnd w:id="65"/>
      <w:bookmarkEnd w:id="66"/>
      <w:bookmarkEnd w:id="67"/>
    </w:p>
    <w:p w:rsidR="006145F1" w:rsidRDefault="006145F1" w:rsidP="006145F1">
      <w:pPr>
        <w:rPr>
          <w:rFonts w:eastAsia="Times New Roman"/>
          <w:szCs w:val="22"/>
        </w:rPr>
      </w:pPr>
      <w:r w:rsidRPr="0031113D">
        <w:rPr>
          <w:rFonts w:eastAsia="Times New Roman"/>
          <w:szCs w:val="22"/>
        </w:rPr>
        <w:t>Within the public safety portfolio, each agency has its own corporate governance framework (refer page</w:t>
      </w:r>
      <w:r w:rsidR="0031113D" w:rsidRPr="0031113D">
        <w:rPr>
          <w:rFonts w:eastAsia="Times New Roman"/>
          <w:szCs w:val="22"/>
        </w:rPr>
        <w:t>s 34-35</w:t>
      </w:r>
      <w:r w:rsidRPr="0031113D">
        <w:rPr>
          <w:rFonts w:eastAsia="Times New Roman"/>
          <w:szCs w:val="22"/>
        </w:rPr>
        <w:t>). In</w:t>
      </w:r>
      <w:r w:rsidRPr="00A56BEA">
        <w:rPr>
          <w:rFonts w:eastAsia="Times New Roman"/>
          <w:szCs w:val="22"/>
        </w:rPr>
        <w:t xml:space="preserve"> addition, there </w:t>
      </w:r>
      <w:r>
        <w:rPr>
          <w:rFonts w:eastAsia="Times New Roman"/>
          <w:szCs w:val="22"/>
        </w:rPr>
        <w:t xml:space="preserve">is a </w:t>
      </w:r>
      <w:r w:rsidRPr="00A56BEA">
        <w:rPr>
          <w:rFonts w:eastAsia="Times New Roman"/>
          <w:szCs w:val="22"/>
        </w:rPr>
        <w:t>portfolio-wide corporate governance</w:t>
      </w:r>
      <w:r>
        <w:rPr>
          <w:rFonts w:eastAsia="Times New Roman"/>
          <w:szCs w:val="22"/>
        </w:rPr>
        <w:t xml:space="preserve"> committee </w:t>
      </w:r>
      <w:r w:rsidRPr="00A56BEA">
        <w:rPr>
          <w:rFonts w:eastAsia="Times New Roman"/>
          <w:szCs w:val="22"/>
        </w:rPr>
        <w:t xml:space="preserve">– the Public Safety Portfolio Audit and Risk Committee, which </w:t>
      </w:r>
      <w:r>
        <w:rPr>
          <w:rFonts w:eastAsia="Times New Roman"/>
          <w:szCs w:val="22"/>
        </w:rPr>
        <w:t>provides independent assurance on risk, control and compliance frameworks and ensures the portfolio’s operations are carried out efficiently, effectively and economically.</w:t>
      </w:r>
    </w:p>
    <w:p w:rsidR="006145F1" w:rsidRDefault="006145F1" w:rsidP="006145F1">
      <w:pPr>
        <w:spacing w:after="240"/>
        <w:rPr>
          <w:rFonts w:eastAsia="Times New Roman"/>
          <w:szCs w:val="22"/>
        </w:rPr>
      </w:pPr>
      <w:r>
        <w:rPr>
          <w:rFonts w:eastAsia="Times New Roman"/>
          <w:szCs w:val="22"/>
        </w:rPr>
        <w:t>The former Public Safety Portfolio Innovation Committee and Public Safety Executive Coordinating Committee will no longer convene as the objectives of these committees will be achieved by the PSBA Interim Board of Management (the Board). The Commissioner, QPS (Chair) and Commissioner, QFES are members of the Board along with an external member, Mr Geoff Waite, Assistant Under Treasurer, Queensland Treasury.</w:t>
      </w:r>
    </w:p>
    <w:tbl>
      <w:tblPr>
        <w:tblStyle w:val="PlainTable22"/>
        <w:tblW w:w="10205" w:type="dxa"/>
        <w:tblLook w:val="04A0" w:firstRow="1" w:lastRow="0" w:firstColumn="1" w:lastColumn="0" w:noHBand="0" w:noVBand="1"/>
      </w:tblPr>
      <w:tblGrid>
        <w:gridCol w:w="10205"/>
      </w:tblGrid>
      <w:tr w:rsidR="006145F1" w:rsidTr="009C325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5" w:type="dxa"/>
            <w:tcBorders>
              <w:top w:val="single" w:sz="12" w:space="0" w:color="8A002E"/>
              <w:left w:val="single" w:sz="12" w:space="0" w:color="8A002E"/>
              <w:bottom w:val="nil"/>
              <w:right w:val="single" w:sz="12" w:space="0" w:color="8A002E"/>
            </w:tcBorders>
            <w:shd w:val="clear" w:color="auto" w:fill="AB054C"/>
          </w:tcPr>
          <w:p w:rsidR="006145F1" w:rsidRPr="00B36A10" w:rsidRDefault="006145F1" w:rsidP="0050079D">
            <w:pPr>
              <w:pStyle w:val="BodyText"/>
              <w:spacing w:before="0"/>
              <w:ind w:left="34"/>
              <w:rPr>
                <w:color w:val="FFFFFF" w:themeColor="background1"/>
                <w:sz w:val="24"/>
                <w:szCs w:val="24"/>
              </w:rPr>
            </w:pPr>
            <w:r w:rsidRPr="00EC278D">
              <w:rPr>
                <w:color w:val="FFFFFF" w:themeColor="background1"/>
                <w:sz w:val="24"/>
              </w:rPr>
              <w:t>Public Safety Portfolio Audit and Risk</w:t>
            </w:r>
            <w:r w:rsidRPr="00EC278D">
              <w:rPr>
                <w:color w:val="FFFFFF" w:themeColor="background1"/>
                <w:spacing w:val="-20"/>
                <w:sz w:val="24"/>
              </w:rPr>
              <w:t xml:space="preserve"> </w:t>
            </w:r>
            <w:r w:rsidRPr="00EC278D">
              <w:rPr>
                <w:color w:val="FFFFFF" w:themeColor="background1"/>
                <w:sz w:val="24"/>
              </w:rPr>
              <w:t>Committee</w:t>
            </w:r>
          </w:p>
        </w:tc>
      </w:tr>
      <w:tr w:rsidR="006145F1" w:rsidRPr="009E77F0" w:rsidTr="009C325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205" w:type="dxa"/>
            <w:tcBorders>
              <w:top w:val="nil"/>
              <w:bottom w:val="single" w:sz="4" w:space="0" w:color="AB054C"/>
            </w:tcBorders>
            <w:shd w:val="clear" w:color="auto" w:fill="auto"/>
          </w:tcPr>
          <w:p w:rsidR="006145F1" w:rsidRPr="009E77F0" w:rsidRDefault="006145F1" w:rsidP="0050079D">
            <w:pPr>
              <w:spacing w:after="120"/>
              <w:rPr>
                <w:rFonts w:eastAsia="Times New Roman"/>
                <w:b w:val="0"/>
                <w:szCs w:val="22"/>
              </w:rPr>
            </w:pPr>
            <w:r w:rsidRPr="009E77F0">
              <w:rPr>
                <w:rFonts w:eastAsia="Times New Roman"/>
                <w:b w:val="0"/>
                <w:szCs w:val="22"/>
              </w:rPr>
              <w:t xml:space="preserve">The Public Safety Portfolio Audit and Risk Committee has been established under, and operates in accordance with, the terms of its charter that was developed in line with Queensland Treasury’s </w:t>
            </w:r>
            <w:r w:rsidR="00B66DA7">
              <w:rPr>
                <w:rFonts w:eastAsia="Times New Roman"/>
                <w:b w:val="0"/>
                <w:i/>
                <w:szCs w:val="22"/>
              </w:rPr>
              <w:t xml:space="preserve">Audit Committee Guidelines: </w:t>
            </w:r>
            <w:r w:rsidRPr="00B50C2F">
              <w:rPr>
                <w:rFonts w:eastAsia="Times New Roman"/>
                <w:b w:val="0"/>
                <w:i/>
                <w:szCs w:val="22"/>
              </w:rPr>
              <w:t>Improving Accountability and Performance</w:t>
            </w:r>
            <w:r w:rsidRPr="009E77F0">
              <w:rPr>
                <w:rFonts w:eastAsia="Times New Roman"/>
                <w:b w:val="0"/>
                <w:szCs w:val="22"/>
              </w:rPr>
              <w:t>.</w:t>
            </w:r>
          </w:p>
          <w:p w:rsidR="006145F1" w:rsidRPr="009E77F0" w:rsidRDefault="006145F1" w:rsidP="0050079D">
            <w:pPr>
              <w:spacing w:after="120"/>
              <w:rPr>
                <w:rFonts w:eastAsia="Times New Roman"/>
                <w:b w:val="0"/>
                <w:szCs w:val="22"/>
              </w:rPr>
            </w:pPr>
            <w:r w:rsidRPr="009E77F0">
              <w:rPr>
                <w:rFonts w:eastAsia="Times New Roman"/>
                <w:b w:val="0"/>
                <w:szCs w:val="22"/>
              </w:rPr>
              <w:t xml:space="preserve">The committee governs audit and risk matters for the </w:t>
            </w:r>
            <w:r>
              <w:rPr>
                <w:rFonts w:eastAsia="Times New Roman"/>
                <w:b w:val="0"/>
                <w:szCs w:val="22"/>
              </w:rPr>
              <w:t>p</w:t>
            </w:r>
            <w:r w:rsidRPr="009E77F0">
              <w:rPr>
                <w:rFonts w:eastAsia="Times New Roman"/>
                <w:b w:val="0"/>
                <w:szCs w:val="22"/>
              </w:rPr>
              <w:t xml:space="preserve">ublic </w:t>
            </w:r>
            <w:r>
              <w:rPr>
                <w:rFonts w:eastAsia="Times New Roman"/>
                <w:b w:val="0"/>
                <w:szCs w:val="22"/>
              </w:rPr>
              <w:t>s</w:t>
            </w:r>
            <w:r w:rsidRPr="009E77F0">
              <w:rPr>
                <w:rFonts w:eastAsia="Times New Roman"/>
                <w:b w:val="0"/>
                <w:szCs w:val="22"/>
              </w:rPr>
              <w:t xml:space="preserve">afety </w:t>
            </w:r>
            <w:r>
              <w:rPr>
                <w:rFonts w:eastAsia="Times New Roman"/>
                <w:b w:val="0"/>
                <w:szCs w:val="22"/>
              </w:rPr>
              <w:t>p</w:t>
            </w:r>
            <w:r w:rsidRPr="009E77F0">
              <w:rPr>
                <w:rFonts w:eastAsia="Times New Roman"/>
                <w:b w:val="0"/>
                <w:szCs w:val="22"/>
              </w:rPr>
              <w:t>ortfolio agencies. It provides independent assurance and assistance through prompt and constructive reports directly to each accountable officer in the portfolio, particularly when issues identified present material risk or threat to the portfolio.</w:t>
            </w:r>
          </w:p>
          <w:p w:rsidR="006145F1" w:rsidRPr="009E77F0" w:rsidRDefault="006145F1" w:rsidP="0050079D">
            <w:pPr>
              <w:spacing w:after="120"/>
              <w:rPr>
                <w:rFonts w:eastAsia="Times New Roman"/>
                <w:b w:val="0"/>
                <w:szCs w:val="22"/>
              </w:rPr>
            </w:pPr>
            <w:r w:rsidRPr="009E77F0">
              <w:rPr>
                <w:rFonts w:eastAsia="Times New Roman"/>
                <w:b w:val="0"/>
                <w:szCs w:val="22"/>
              </w:rPr>
              <w:t>The committee is chaired by an independent external expe</w:t>
            </w:r>
            <w:r>
              <w:rPr>
                <w:rFonts w:eastAsia="Times New Roman"/>
                <w:b w:val="0"/>
                <w:szCs w:val="22"/>
              </w:rPr>
              <w:t>rt appointed to the role. Each p</w:t>
            </w:r>
            <w:r w:rsidRPr="009E77F0">
              <w:rPr>
                <w:rFonts w:eastAsia="Times New Roman"/>
                <w:b w:val="0"/>
                <w:szCs w:val="22"/>
              </w:rPr>
              <w:t xml:space="preserve">ublic </w:t>
            </w:r>
            <w:r>
              <w:rPr>
                <w:rFonts w:eastAsia="Times New Roman"/>
                <w:b w:val="0"/>
                <w:szCs w:val="22"/>
              </w:rPr>
              <w:t>s</w:t>
            </w:r>
            <w:r w:rsidRPr="009E77F0">
              <w:rPr>
                <w:rFonts w:eastAsia="Times New Roman"/>
                <w:b w:val="0"/>
                <w:szCs w:val="22"/>
              </w:rPr>
              <w:t xml:space="preserve">afety </w:t>
            </w:r>
            <w:r>
              <w:rPr>
                <w:rFonts w:eastAsia="Times New Roman"/>
                <w:b w:val="0"/>
                <w:szCs w:val="22"/>
              </w:rPr>
              <w:t>p</w:t>
            </w:r>
            <w:r w:rsidRPr="009E77F0">
              <w:rPr>
                <w:rFonts w:eastAsia="Times New Roman"/>
                <w:b w:val="0"/>
                <w:szCs w:val="22"/>
              </w:rPr>
              <w:t>ortfolio agency is represented by one member</w:t>
            </w:r>
            <w:r>
              <w:rPr>
                <w:rFonts w:eastAsia="Times New Roman"/>
                <w:b w:val="0"/>
                <w:szCs w:val="22"/>
              </w:rPr>
              <w:t xml:space="preserve">. A second external member also forms part of the committee. </w:t>
            </w:r>
            <w:r w:rsidRPr="009E77F0">
              <w:rPr>
                <w:rFonts w:eastAsia="Times New Roman"/>
                <w:b w:val="0"/>
                <w:szCs w:val="22"/>
              </w:rPr>
              <w:t>The Chair may invite or give approval for other persons to attend a committee meeting.</w:t>
            </w:r>
          </w:p>
          <w:p w:rsidR="006145F1" w:rsidRPr="009E77F0" w:rsidRDefault="006145F1" w:rsidP="0050079D">
            <w:pPr>
              <w:spacing w:after="120"/>
              <w:rPr>
                <w:rFonts w:eastAsia="Times New Roman"/>
                <w:b w:val="0"/>
                <w:szCs w:val="22"/>
              </w:rPr>
            </w:pPr>
            <w:r w:rsidRPr="009E77F0">
              <w:rPr>
                <w:rFonts w:eastAsia="Times New Roman"/>
                <w:b w:val="0"/>
                <w:szCs w:val="22"/>
              </w:rPr>
              <w:t>The committee meets quarterly and met on four occasions during 2015-16.</w:t>
            </w:r>
          </w:p>
          <w:p w:rsidR="006145F1" w:rsidRPr="009E77F0" w:rsidRDefault="006145F1" w:rsidP="00B122E9">
            <w:pPr>
              <w:spacing w:after="120"/>
              <w:rPr>
                <w:b w:val="0"/>
              </w:rPr>
            </w:pPr>
            <w:r w:rsidRPr="009E77F0">
              <w:rPr>
                <w:rFonts w:eastAsia="Times New Roman"/>
                <w:b w:val="0"/>
                <w:bCs w:val="0"/>
                <w:szCs w:val="22"/>
              </w:rPr>
              <w:t xml:space="preserve">The independent external Chair received $8,250 (including GST) in remuneration for services provided in 2015-16. The second external member received $3,300 (including GST). </w:t>
            </w:r>
            <w:r>
              <w:rPr>
                <w:rFonts w:eastAsia="Times New Roman"/>
                <w:b w:val="0"/>
                <w:bCs w:val="0"/>
                <w:szCs w:val="22"/>
              </w:rPr>
              <w:t>There were no other on</w:t>
            </w:r>
            <w:r>
              <w:rPr>
                <w:rFonts w:eastAsia="Times New Roman"/>
                <w:b w:val="0"/>
                <w:bCs w:val="0"/>
                <w:szCs w:val="22"/>
              </w:rPr>
              <w:noBreakHyphen/>
            </w:r>
            <w:r w:rsidRPr="009E77F0">
              <w:rPr>
                <w:rFonts w:eastAsia="Times New Roman"/>
                <w:b w:val="0"/>
                <w:bCs w:val="0"/>
                <w:szCs w:val="22"/>
              </w:rPr>
              <w:t>costs.</w:t>
            </w:r>
          </w:p>
        </w:tc>
      </w:tr>
      <w:tr w:rsidR="006145F1" w:rsidTr="009C3253">
        <w:trPr>
          <w:trHeight w:val="283"/>
        </w:trPr>
        <w:tc>
          <w:tcPr>
            <w:cnfStyle w:val="001000000000" w:firstRow="0" w:lastRow="0" w:firstColumn="1" w:lastColumn="0" w:oddVBand="0" w:evenVBand="0" w:oddHBand="0" w:evenHBand="0" w:firstRowFirstColumn="0" w:firstRowLastColumn="0" w:lastRowFirstColumn="0" w:lastRowLastColumn="0"/>
            <w:tcW w:w="10205" w:type="dxa"/>
            <w:tcBorders>
              <w:top w:val="single" w:sz="4" w:space="0" w:color="AB054C"/>
              <w:bottom w:val="single" w:sz="4" w:space="0" w:color="AB054C"/>
            </w:tcBorders>
            <w:shd w:val="clear" w:color="auto" w:fill="auto"/>
          </w:tcPr>
          <w:p w:rsidR="006145F1" w:rsidRDefault="00551D72" w:rsidP="0050079D">
            <w:pPr>
              <w:pStyle w:val="TableParagraph"/>
              <w:tabs>
                <w:tab w:val="left" w:pos="464"/>
              </w:tabs>
              <w:spacing w:before="120" w:after="120"/>
              <w:ind w:left="103" w:hanging="103"/>
              <w:rPr>
                <w:rFonts w:ascii="Arial" w:hAnsi="Arial" w:cs="Arial"/>
              </w:rPr>
            </w:pPr>
            <w:r>
              <w:rPr>
                <w:rFonts w:ascii="Arial" w:hAnsi="Arial" w:cs="Arial"/>
              </w:rPr>
              <w:t xml:space="preserve">Committee </w:t>
            </w:r>
            <w:r w:rsidR="006145F1" w:rsidRPr="00B36A10">
              <w:rPr>
                <w:rFonts w:ascii="Arial" w:hAnsi="Arial" w:cs="Arial"/>
              </w:rPr>
              <w:t>Members</w:t>
            </w:r>
          </w:p>
          <w:p w:rsidR="006145F1" w:rsidRPr="00EC278D" w:rsidRDefault="006145F1" w:rsidP="00207679">
            <w:pPr>
              <w:pStyle w:val="ListParagraph"/>
              <w:widowControl w:val="0"/>
              <w:numPr>
                <w:ilvl w:val="0"/>
                <w:numId w:val="25"/>
              </w:numPr>
              <w:tabs>
                <w:tab w:val="left" w:pos="473"/>
              </w:tabs>
              <w:ind w:left="472"/>
              <w:contextualSpacing w:val="0"/>
              <w:rPr>
                <w:b w:val="0"/>
              </w:rPr>
            </w:pPr>
            <w:r w:rsidRPr="00EC278D">
              <w:rPr>
                <w:b w:val="0"/>
              </w:rPr>
              <w:t>Graham Carpenter, Chair (external member)</w:t>
            </w:r>
          </w:p>
          <w:p w:rsidR="006145F1" w:rsidRDefault="006145F1" w:rsidP="00207679">
            <w:pPr>
              <w:pStyle w:val="ListParagraph"/>
              <w:widowControl w:val="0"/>
              <w:numPr>
                <w:ilvl w:val="0"/>
                <w:numId w:val="25"/>
              </w:numPr>
              <w:tabs>
                <w:tab w:val="left" w:pos="473"/>
              </w:tabs>
              <w:ind w:left="472"/>
              <w:contextualSpacing w:val="0"/>
              <w:rPr>
                <w:b w:val="0"/>
              </w:rPr>
            </w:pPr>
            <w:r w:rsidRPr="009E77F0">
              <w:rPr>
                <w:b w:val="0"/>
              </w:rPr>
              <w:t>Ian Stewart APM, Commissioner, QPS represented by Brett Pointing, Deputy Commissioner, Strategy, Policy and Performance, QPS</w:t>
            </w:r>
          </w:p>
          <w:p w:rsidR="006145F1" w:rsidRDefault="006145F1" w:rsidP="00207679">
            <w:pPr>
              <w:pStyle w:val="ListParagraph"/>
              <w:widowControl w:val="0"/>
              <w:numPr>
                <w:ilvl w:val="0"/>
                <w:numId w:val="25"/>
              </w:numPr>
              <w:tabs>
                <w:tab w:val="left" w:pos="473"/>
              </w:tabs>
              <w:ind w:left="472"/>
              <w:contextualSpacing w:val="0"/>
              <w:rPr>
                <w:b w:val="0"/>
              </w:rPr>
            </w:pPr>
            <w:r w:rsidRPr="009E77F0">
              <w:rPr>
                <w:b w:val="0"/>
              </w:rPr>
              <w:t>Katarina Carroll APM, Commissioner, QFES represented by Doug Smith, Deputy Commissioner</w:t>
            </w:r>
            <w:r w:rsidR="00B50C2F">
              <w:rPr>
                <w:b w:val="0"/>
              </w:rPr>
              <w:t xml:space="preserve"> and Chief Strategy Officer,</w:t>
            </w:r>
            <w:r w:rsidRPr="009E77F0">
              <w:rPr>
                <w:b w:val="0"/>
              </w:rPr>
              <w:t xml:space="preserve"> Capability and Performance Division, QFES</w:t>
            </w:r>
          </w:p>
          <w:p w:rsidR="006145F1" w:rsidRPr="009E77F0" w:rsidRDefault="006145F1" w:rsidP="00207679">
            <w:pPr>
              <w:pStyle w:val="ListParagraph"/>
              <w:widowControl w:val="0"/>
              <w:numPr>
                <w:ilvl w:val="0"/>
                <w:numId w:val="25"/>
              </w:numPr>
              <w:tabs>
                <w:tab w:val="left" w:pos="473"/>
              </w:tabs>
              <w:ind w:left="472"/>
              <w:contextualSpacing w:val="0"/>
              <w:rPr>
                <w:b w:val="0"/>
              </w:rPr>
            </w:pPr>
            <w:r w:rsidRPr="009E77F0">
              <w:rPr>
                <w:b w:val="0"/>
              </w:rPr>
              <w:t>Iain MacKenzie AFSM, Inspector-General Emergency Management</w:t>
            </w:r>
          </w:p>
          <w:p w:rsidR="006145F1" w:rsidRPr="009E77F0" w:rsidRDefault="006145F1" w:rsidP="00207679">
            <w:pPr>
              <w:pStyle w:val="ListParagraph"/>
              <w:widowControl w:val="0"/>
              <w:numPr>
                <w:ilvl w:val="0"/>
                <w:numId w:val="25"/>
              </w:numPr>
              <w:tabs>
                <w:tab w:val="left" w:pos="473"/>
              </w:tabs>
              <w:ind w:left="472"/>
              <w:contextualSpacing w:val="0"/>
              <w:rPr>
                <w:b w:val="0"/>
              </w:rPr>
            </w:pPr>
            <w:r w:rsidRPr="009E77F0">
              <w:rPr>
                <w:b w:val="0"/>
              </w:rPr>
              <w:t>Rod Wilson, Deputy Chief Executive Officer (Acting), PSBA</w:t>
            </w:r>
          </w:p>
          <w:p w:rsidR="006145F1" w:rsidRPr="00B36A10" w:rsidRDefault="00B66DA7" w:rsidP="00207679">
            <w:pPr>
              <w:pStyle w:val="ListParagraph"/>
              <w:widowControl w:val="0"/>
              <w:numPr>
                <w:ilvl w:val="0"/>
                <w:numId w:val="25"/>
              </w:numPr>
              <w:tabs>
                <w:tab w:val="left" w:pos="473"/>
              </w:tabs>
              <w:spacing w:after="120"/>
              <w:ind w:left="472"/>
              <w:contextualSpacing w:val="0"/>
              <w:rPr>
                <w:b w:val="0"/>
              </w:rPr>
            </w:pPr>
            <w:r>
              <w:rPr>
                <w:b w:val="0"/>
              </w:rPr>
              <w:t>Marita Corbett (</w:t>
            </w:r>
            <w:r w:rsidR="006145F1" w:rsidRPr="009E77F0">
              <w:rPr>
                <w:b w:val="0"/>
              </w:rPr>
              <w:t>external member</w:t>
            </w:r>
            <w:r>
              <w:rPr>
                <w:b w:val="0"/>
              </w:rPr>
              <w:t>)</w:t>
            </w:r>
          </w:p>
        </w:tc>
      </w:tr>
    </w:tbl>
    <w:p w:rsidR="006145F1" w:rsidRDefault="006145F1" w:rsidP="006145F1">
      <w:r>
        <w:rPr>
          <w:b/>
          <w:bCs/>
        </w:rPr>
        <w:br w:type="page"/>
      </w:r>
    </w:p>
    <w:tbl>
      <w:tblPr>
        <w:tblStyle w:val="PlainTable22"/>
        <w:tblW w:w="10205" w:type="dxa"/>
        <w:tblInd w:w="15" w:type="dxa"/>
        <w:tblBorders>
          <w:top w:val="single" w:sz="4" w:space="0" w:color="AB054B"/>
          <w:bottom w:val="single" w:sz="4" w:space="0" w:color="AB054B"/>
        </w:tblBorders>
        <w:tblLook w:val="04A0" w:firstRow="1" w:lastRow="0" w:firstColumn="1" w:lastColumn="0" w:noHBand="0" w:noVBand="1"/>
      </w:tblPr>
      <w:tblGrid>
        <w:gridCol w:w="10205"/>
      </w:tblGrid>
      <w:tr w:rsidR="006145F1" w:rsidTr="009C325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205" w:type="dxa"/>
            <w:tcBorders>
              <w:bottom w:val="none" w:sz="0" w:space="0" w:color="auto"/>
            </w:tcBorders>
          </w:tcPr>
          <w:p w:rsidR="006145F1" w:rsidRDefault="006145F1" w:rsidP="0050079D">
            <w:pPr>
              <w:pStyle w:val="TableParagraph"/>
              <w:tabs>
                <w:tab w:val="left" w:pos="464"/>
              </w:tabs>
              <w:spacing w:before="120" w:after="120"/>
              <w:ind w:left="103" w:hanging="103"/>
              <w:rPr>
                <w:rFonts w:ascii="Arial" w:hAnsi="Arial" w:cs="Arial"/>
              </w:rPr>
            </w:pPr>
            <w:r w:rsidRPr="00B36A10">
              <w:rPr>
                <w:rFonts w:ascii="Arial" w:hAnsi="Arial" w:cs="Arial"/>
              </w:rPr>
              <w:lastRenderedPageBreak/>
              <w:t xml:space="preserve">Achievements </w:t>
            </w:r>
          </w:p>
          <w:p w:rsidR="006145F1" w:rsidRPr="00056A9C" w:rsidRDefault="006145F1" w:rsidP="0050079D">
            <w:pPr>
              <w:spacing w:after="120"/>
              <w:rPr>
                <w:rFonts w:eastAsia="Times New Roman"/>
                <w:b w:val="0"/>
                <w:szCs w:val="22"/>
              </w:rPr>
            </w:pPr>
            <w:r w:rsidRPr="00056A9C">
              <w:rPr>
                <w:rFonts w:eastAsia="Times New Roman"/>
                <w:b w:val="0"/>
                <w:szCs w:val="22"/>
              </w:rPr>
              <w:t>During 2015-16, the c</w:t>
            </w:r>
            <w:r w:rsidR="00B66DA7">
              <w:rPr>
                <w:rFonts w:eastAsia="Times New Roman"/>
                <w:b w:val="0"/>
                <w:szCs w:val="22"/>
              </w:rPr>
              <w:t>ommittee’s achievements include</w:t>
            </w:r>
            <w:r w:rsidRPr="00056A9C">
              <w:rPr>
                <w:rFonts w:eastAsia="Times New Roman"/>
                <w:b w:val="0"/>
                <w:szCs w:val="22"/>
              </w:rPr>
              <w:t>:</w:t>
            </w:r>
          </w:p>
          <w:p w:rsidR="006145F1" w:rsidRPr="00056A9C" w:rsidRDefault="006145F1" w:rsidP="00207679">
            <w:pPr>
              <w:pStyle w:val="ListParagraph"/>
              <w:widowControl w:val="0"/>
              <w:numPr>
                <w:ilvl w:val="0"/>
                <w:numId w:val="25"/>
              </w:numPr>
              <w:tabs>
                <w:tab w:val="left" w:pos="473"/>
              </w:tabs>
              <w:ind w:left="472"/>
              <w:contextualSpacing w:val="0"/>
              <w:rPr>
                <w:rFonts w:eastAsia="Times New Roman"/>
                <w:b w:val="0"/>
              </w:rPr>
            </w:pPr>
            <w:r w:rsidRPr="00056A9C">
              <w:rPr>
                <w:b w:val="0"/>
              </w:rPr>
              <w:t>oversaw</w:t>
            </w:r>
            <w:r w:rsidRPr="00056A9C">
              <w:rPr>
                <w:rFonts w:eastAsia="Times New Roman"/>
                <w:b w:val="0"/>
              </w:rPr>
              <w:t xml:space="preserve"> progress on Queensland Audit Office (QAO) issues and the status of the QAO Audit Program</w:t>
            </w:r>
          </w:p>
          <w:p w:rsidR="006145F1" w:rsidRPr="00056A9C" w:rsidRDefault="006145F1" w:rsidP="00207679">
            <w:pPr>
              <w:pStyle w:val="ListParagraph"/>
              <w:widowControl w:val="0"/>
              <w:numPr>
                <w:ilvl w:val="0"/>
                <w:numId w:val="25"/>
              </w:numPr>
              <w:tabs>
                <w:tab w:val="left" w:pos="473"/>
              </w:tabs>
              <w:ind w:left="472"/>
              <w:contextualSpacing w:val="0"/>
              <w:rPr>
                <w:rFonts w:eastAsia="Times New Roman"/>
                <w:b w:val="0"/>
              </w:rPr>
            </w:pPr>
            <w:r w:rsidRPr="00056A9C">
              <w:rPr>
                <w:b w:val="0"/>
              </w:rPr>
              <w:t>reviewed</w:t>
            </w:r>
            <w:r w:rsidRPr="00056A9C">
              <w:rPr>
                <w:rFonts w:eastAsia="Times New Roman"/>
                <w:b w:val="0"/>
              </w:rPr>
              <w:t xml:space="preserve"> and endorsed the Annual Financial Statements and the Chief Finance Officer Assurance Statements</w:t>
            </w:r>
          </w:p>
          <w:p w:rsidR="006145F1" w:rsidRPr="00056A9C" w:rsidRDefault="006145F1" w:rsidP="00207679">
            <w:pPr>
              <w:pStyle w:val="ListParagraph"/>
              <w:widowControl w:val="0"/>
              <w:numPr>
                <w:ilvl w:val="0"/>
                <w:numId w:val="25"/>
              </w:numPr>
              <w:tabs>
                <w:tab w:val="left" w:pos="473"/>
              </w:tabs>
              <w:ind w:left="472"/>
              <w:contextualSpacing w:val="0"/>
              <w:rPr>
                <w:rFonts w:eastAsia="Times New Roman"/>
                <w:b w:val="0"/>
              </w:rPr>
            </w:pPr>
            <w:r w:rsidRPr="00056A9C">
              <w:rPr>
                <w:b w:val="0"/>
              </w:rPr>
              <w:t>monitored</w:t>
            </w:r>
            <w:r w:rsidRPr="00056A9C">
              <w:rPr>
                <w:rFonts w:eastAsia="Times New Roman"/>
                <w:b w:val="0"/>
              </w:rPr>
              <w:t xml:space="preserve"> compliance with the 2015-16 Annual Internal Audit Plan and oversaw the status of open recommendations</w:t>
            </w:r>
          </w:p>
          <w:p w:rsidR="006145F1" w:rsidRPr="00056A9C" w:rsidRDefault="006145F1" w:rsidP="00207679">
            <w:pPr>
              <w:pStyle w:val="ListParagraph"/>
              <w:widowControl w:val="0"/>
              <w:numPr>
                <w:ilvl w:val="0"/>
                <w:numId w:val="25"/>
              </w:numPr>
              <w:tabs>
                <w:tab w:val="left" w:pos="473"/>
              </w:tabs>
              <w:ind w:left="472"/>
              <w:contextualSpacing w:val="0"/>
              <w:rPr>
                <w:rFonts w:eastAsia="Times New Roman"/>
                <w:b w:val="0"/>
              </w:rPr>
            </w:pPr>
            <w:r w:rsidRPr="00056A9C">
              <w:rPr>
                <w:b w:val="0"/>
              </w:rPr>
              <w:t>approved</w:t>
            </w:r>
            <w:r w:rsidRPr="00056A9C">
              <w:rPr>
                <w:rFonts w:eastAsia="Times New Roman"/>
                <w:b w:val="0"/>
              </w:rPr>
              <w:t xml:space="preserve"> the: </w:t>
            </w:r>
          </w:p>
          <w:p w:rsidR="006145F1" w:rsidRPr="00056A9C" w:rsidRDefault="006145F1" w:rsidP="00207679">
            <w:pPr>
              <w:pStyle w:val="ListParagraph"/>
              <w:numPr>
                <w:ilvl w:val="0"/>
                <w:numId w:val="29"/>
              </w:numPr>
              <w:spacing w:before="0"/>
              <w:ind w:left="842"/>
              <w:rPr>
                <w:rFonts w:eastAsia="Times New Roman"/>
                <w:b w:val="0"/>
                <w:szCs w:val="22"/>
              </w:rPr>
            </w:pPr>
            <w:r w:rsidRPr="00056A9C">
              <w:rPr>
                <w:rFonts w:eastAsia="Times New Roman"/>
                <w:b w:val="0"/>
                <w:szCs w:val="22"/>
              </w:rPr>
              <w:t>Internal Audit Charter</w:t>
            </w:r>
          </w:p>
          <w:p w:rsidR="006145F1" w:rsidRPr="00056A9C" w:rsidRDefault="006145F1" w:rsidP="00207679">
            <w:pPr>
              <w:pStyle w:val="ListParagraph"/>
              <w:numPr>
                <w:ilvl w:val="0"/>
                <w:numId w:val="29"/>
              </w:numPr>
              <w:spacing w:before="0"/>
              <w:ind w:left="842"/>
              <w:rPr>
                <w:rFonts w:eastAsia="Times New Roman"/>
                <w:b w:val="0"/>
                <w:szCs w:val="22"/>
              </w:rPr>
            </w:pPr>
            <w:r w:rsidRPr="00056A9C">
              <w:rPr>
                <w:rFonts w:eastAsia="Times New Roman"/>
                <w:b w:val="0"/>
                <w:szCs w:val="22"/>
              </w:rPr>
              <w:t>Audit and Risk Committee Charter and Structure</w:t>
            </w:r>
          </w:p>
          <w:p w:rsidR="006145F1" w:rsidRPr="00056A9C" w:rsidRDefault="006145F1" w:rsidP="00207679">
            <w:pPr>
              <w:pStyle w:val="ListParagraph"/>
              <w:numPr>
                <w:ilvl w:val="0"/>
                <w:numId w:val="29"/>
              </w:numPr>
              <w:spacing w:before="0"/>
              <w:ind w:left="842"/>
              <w:rPr>
                <w:rFonts w:eastAsia="Times New Roman"/>
                <w:b w:val="0"/>
                <w:szCs w:val="22"/>
              </w:rPr>
            </w:pPr>
            <w:r w:rsidRPr="00056A9C">
              <w:rPr>
                <w:rFonts w:eastAsia="Times New Roman"/>
                <w:b w:val="0"/>
                <w:szCs w:val="22"/>
              </w:rPr>
              <w:t>Audit and Risk Committee 2016-17 Workplan</w:t>
            </w:r>
          </w:p>
          <w:p w:rsidR="006145F1" w:rsidRPr="00B36A10" w:rsidRDefault="006145F1" w:rsidP="00207679">
            <w:pPr>
              <w:pStyle w:val="ListParagraph"/>
              <w:widowControl w:val="0"/>
              <w:numPr>
                <w:ilvl w:val="0"/>
                <w:numId w:val="25"/>
              </w:numPr>
              <w:tabs>
                <w:tab w:val="left" w:pos="473"/>
              </w:tabs>
              <w:spacing w:after="120"/>
              <w:ind w:left="472"/>
              <w:contextualSpacing w:val="0"/>
              <w:rPr>
                <w:b w:val="0"/>
              </w:rPr>
            </w:pPr>
            <w:r w:rsidRPr="00207679">
              <w:rPr>
                <w:b w:val="0"/>
              </w:rPr>
              <w:t>endorsed</w:t>
            </w:r>
            <w:r w:rsidRPr="00056A9C">
              <w:rPr>
                <w:rFonts w:eastAsia="Times New Roman"/>
                <w:b w:val="0"/>
              </w:rPr>
              <w:t xml:space="preserve"> the Annual Internal Audit Plan 2016-17, incorporating the Internal Audit Strategic Plan 2016-2019.</w:t>
            </w:r>
          </w:p>
        </w:tc>
      </w:tr>
    </w:tbl>
    <w:p w:rsidR="006145F1" w:rsidRPr="00A56BEA" w:rsidRDefault="006145F1" w:rsidP="006145F1">
      <w:pPr>
        <w:rPr>
          <w:szCs w:val="22"/>
        </w:rPr>
      </w:pPr>
    </w:p>
    <w:p w:rsidR="006145F1" w:rsidRPr="00341581" w:rsidRDefault="006145F1" w:rsidP="006145F1">
      <w:pPr>
        <w:pStyle w:val="BodyText"/>
        <w:ind w:left="112" w:right="646"/>
      </w:pPr>
    </w:p>
    <w:p w:rsidR="00677D61" w:rsidRPr="00341581" w:rsidRDefault="00677D61" w:rsidP="00091676">
      <w:pPr>
        <w:rPr>
          <w:rFonts w:eastAsia="Arial"/>
          <w:b/>
          <w:bCs/>
          <w:szCs w:val="22"/>
        </w:rPr>
      </w:pPr>
      <w:r w:rsidRPr="00341581">
        <w:rPr>
          <w:rFonts w:eastAsia="Arial"/>
          <w:szCs w:val="22"/>
        </w:rPr>
        <w:br w:type="page"/>
      </w:r>
    </w:p>
    <w:p w:rsidR="00F338E8" w:rsidRPr="007C2B1C" w:rsidRDefault="00F338E8" w:rsidP="00C60996">
      <w:pPr>
        <w:pStyle w:val="Heading2"/>
      </w:pPr>
      <w:bookmarkStart w:id="68" w:name="_TOC_250018"/>
      <w:bookmarkStart w:id="69" w:name="_Toc441671800"/>
      <w:bookmarkStart w:id="70" w:name="_Toc441672088"/>
      <w:bookmarkStart w:id="71" w:name="_Toc442168876"/>
      <w:bookmarkStart w:id="72" w:name="_Toc460406673"/>
      <w:bookmarkStart w:id="73" w:name="_Toc460406823"/>
      <w:bookmarkStart w:id="74" w:name="_Toc460406859"/>
      <w:bookmarkStart w:id="75" w:name="_Toc460406938"/>
      <w:bookmarkStart w:id="76" w:name="_Toc460407052"/>
      <w:bookmarkStart w:id="77" w:name="_Toc460487955"/>
      <w:bookmarkStart w:id="78" w:name="_Toc415049798"/>
      <w:bookmarkStart w:id="79" w:name="_Toc415050350"/>
      <w:r w:rsidRPr="007C2B1C">
        <w:lastRenderedPageBreak/>
        <w:t>About us</w:t>
      </w:r>
      <w:bookmarkEnd w:id="68"/>
      <w:bookmarkEnd w:id="69"/>
      <w:bookmarkEnd w:id="70"/>
      <w:bookmarkEnd w:id="71"/>
      <w:bookmarkEnd w:id="72"/>
      <w:bookmarkEnd w:id="73"/>
      <w:bookmarkEnd w:id="74"/>
      <w:bookmarkEnd w:id="75"/>
      <w:bookmarkEnd w:id="76"/>
      <w:bookmarkEnd w:id="77"/>
      <w:r w:rsidRPr="007C2B1C">
        <w:t xml:space="preserve"> </w:t>
      </w:r>
    </w:p>
    <w:p w:rsidR="00AE6BEA" w:rsidRPr="00A250E2" w:rsidRDefault="00AE6BEA" w:rsidP="00B122E9">
      <w:pPr>
        <w:pStyle w:val="BodyText"/>
      </w:pPr>
      <w:r>
        <w:t>T</w:t>
      </w:r>
      <w:r w:rsidRPr="00A250E2">
        <w:t>he Office of the IGEM was formally established as a public service office on 1 July 2014</w:t>
      </w:r>
      <w:r w:rsidRPr="00A250E2">
        <w:rPr>
          <w:spacing w:val="-30"/>
        </w:rPr>
        <w:t xml:space="preserve"> </w:t>
      </w:r>
      <w:r w:rsidRPr="00A250E2">
        <w:t>under</w:t>
      </w:r>
      <w:r w:rsidRPr="00A250E2">
        <w:rPr>
          <w:spacing w:val="-1"/>
        </w:rPr>
        <w:t xml:space="preserve"> </w:t>
      </w:r>
      <w:r w:rsidRPr="00A250E2">
        <w:t xml:space="preserve">amendments to the </w:t>
      </w:r>
      <w:r w:rsidRPr="00A250E2">
        <w:rPr>
          <w:i/>
        </w:rPr>
        <w:t xml:space="preserve">Disaster Management Act 2003 </w:t>
      </w:r>
      <w:r w:rsidRPr="00A250E2">
        <w:t>to support confidence in</w:t>
      </w:r>
      <w:r w:rsidRPr="00A250E2">
        <w:rPr>
          <w:spacing w:val="-19"/>
        </w:rPr>
        <w:t xml:space="preserve"> </w:t>
      </w:r>
      <w:r w:rsidRPr="00A250E2">
        <w:t>Queensland’s emergency management arrangements. It does this by reviewing and assessing</w:t>
      </w:r>
      <w:r w:rsidRPr="00A250E2">
        <w:rPr>
          <w:spacing w:val="-29"/>
        </w:rPr>
        <w:t xml:space="preserve"> </w:t>
      </w:r>
      <w:r w:rsidRPr="00A250E2">
        <w:t>Queensland’s disaster management arrangements for opportunities to improve community</w:t>
      </w:r>
      <w:r w:rsidRPr="00A250E2">
        <w:rPr>
          <w:spacing w:val="-36"/>
        </w:rPr>
        <w:t xml:space="preserve"> </w:t>
      </w:r>
      <w:r w:rsidRPr="00A250E2">
        <w:t>outcomes.</w:t>
      </w:r>
    </w:p>
    <w:p w:rsidR="00F338E8" w:rsidRDefault="00AE6BEA" w:rsidP="00B122E9">
      <w:pPr>
        <w:pStyle w:val="BodyText"/>
        <w:spacing w:after="240"/>
      </w:pPr>
      <w:r w:rsidRPr="00A250E2">
        <w:t>Disaster management within Queensland is predicated on local capability and capacity,</w:t>
      </w:r>
      <w:r w:rsidRPr="00A250E2">
        <w:rPr>
          <w:spacing w:val="-27"/>
        </w:rPr>
        <w:t xml:space="preserve"> </w:t>
      </w:r>
      <w:r w:rsidRPr="00A250E2">
        <w:t>supported</w:t>
      </w:r>
      <w:r w:rsidRPr="00A250E2">
        <w:rPr>
          <w:spacing w:val="-1"/>
        </w:rPr>
        <w:t xml:space="preserve"> </w:t>
      </w:r>
      <w:r w:rsidRPr="00A250E2">
        <w:t>and augmented through a scalable, responsive model. The model builds upon the availability</w:t>
      </w:r>
      <w:r w:rsidRPr="00A250E2">
        <w:rPr>
          <w:spacing w:val="-37"/>
        </w:rPr>
        <w:t xml:space="preserve"> </w:t>
      </w:r>
      <w:r w:rsidRPr="00A250E2">
        <w:t>and</w:t>
      </w:r>
      <w:r w:rsidRPr="00A250E2">
        <w:rPr>
          <w:spacing w:val="-1"/>
        </w:rPr>
        <w:t xml:space="preserve"> </w:t>
      </w:r>
      <w:r w:rsidRPr="00A250E2">
        <w:t>coordination of support at local, district, state and national levels. The success of the system</w:t>
      </w:r>
      <w:r>
        <w:rPr>
          <w:spacing w:val="-34"/>
        </w:rPr>
        <w:t xml:space="preserve"> </w:t>
      </w:r>
      <w:r w:rsidRPr="00A250E2">
        <w:t>relies</w:t>
      </w:r>
      <w:r w:rsidRPr="00A250E2">
        <w:rPr>
          <w:spacing w:val="-1"/>
        </w:rPr>
        <w:t xml:space="preserve"> </w:t>
      </w:r>
      <w:r w:rsidRPr="00A250E2">
        <w:t xml:space="preserve">on </w:t>
      </w:r>
      <w:r>
        <w:t>key stakeholders</w:t>
      </w:r>
      <w:r w:rsidRPr="00A250E2">
        <w:t xml:space="preserve"> working collaboratively and cooperatively</w:t>
      </w:r>
      <w:r w:rsidRPr="00A250E2">
        <w:rPr>
          <w:spacing w:val="-28"/>
        </w:rPr>
        <w:t xml:space="preserve"> </w:t>
      </w:r>
      <w:r w:rsidRPr="00A250E2">
        <w:t>to contribute to outcomes that benefit the</w:t>
      </w:r>
      <w:r w:rsidRPr="00A250E2">
        <w:rPr>
          <w:spacing w:val="-23"/>
        </w:rPr>
        <w:t xml:space="preserve"> </w:t>
      </w:r>
      <w:r w:rsidRPr="00A250E2">
        <w:t>community.</w:t>
      </w:r>
    </w:p>
    <w:p w:rsidR="00AE6BEA" w:rsidRPr="00667FC5" w:rsidRDefault="00AE6BEA" w:rsidP="00AE6BEA">
      <w:pPr>
        <w:pBdr>
          <w:top w:val="single" w:sz="24" w:space="8" w:color="AB054C"/>
          <w:bottom w:val="single" w:sz="24" w:space="8" w:color="AB054C"/>
        </w:pBdr>
        <w:ind w:left="851" w:right="1310"/>
        <w:jc w:val="center"/>
        <w:rPr>
          <w:b/>
          <w:bCs/>
          <w:i/>
          <w:iCs/>
          <w:color w:val="990033"/>
          <w:sz w:val="24"/>
          <w:szCs w:val="24"/>
        </w:rPr>
      </w:pPr>
      <w:r w:rsidRPr="00667FC5">
        <w:rPr>
          <w:b/>
          <w:i/>
          <w:iCs/>
          <w:color w:val="990033"/>
          <w:sz w:val="24"/>
          <w:szCs w:val="24"/>
        </w:rPr>
        <w:t>Our vision:</w:t>
      </w:r>
    </w:p>
    <w:p w:rsidR="00AE6BEA" w:rsidRPr="00AE6BEA" w:rsidRDefault="00AE6BEA" w:rsidP="00AE6BEA">
      <w:pPr>
        <w:pBdr>
          <w:top w:val="single" w:sz="24" w:space="8" w:color="AB054C"/>
          <w:bottom w:val="single" w:sz="24" w:space="8" w:color="AB054C"/>
        </w:pBdr>
        <w:ind w:left="851" w:right="1310"/>
        <w:jc w:val="center"/>
        <w:rPr>
          <w:i/>
          <w:iCs/>
          <w:color w:val="990033"/>
          <w:sz w:val="24"/>
          <w:szCs w:val="24"/>
        </w:rPr>
      </w:pPr>
      <w:r w:rsidRPr="00AE6BEA">
        <w:rPr>
          <w:i/>
          <w:iCs/>
          <w:color w:val="990033"/>
          <w:sz w:val="24"/>
          <w:szCs w:val="24"/>
        </w:rPr>
        <w:t>A catalyst for excellence in Emergency Management.</w:t>
      </w:r>
    </w:p>
    <w:p w:rsidR="00AE6BEA" w:rsidRPr="00667FC5" w:rsidRDefault="00AE6BEA" w:rsidP="00AE6BEA">
      <w:pPr>
        <w:pStyle w:val="BodyText"/>
        <w:ind w:right="614"/>
        <w:rPr>
          <w:color w:val="990033"/>
        </w:rPr>
      </w:pPr>
    </w:p>
    <w:p w:rsidR="00AE6BEA" w:rsidRPr="00667FC5" w:rsidRDefault="00AE6BEA" w:rsidP="00AE6BEA">
      <w:pPr>
        <w:pBdr>
          <w:top w:val="single" w:sz="24" w:space="8" w:color="AB054C"/>
          <w:bottom w:val="single" w:sz="24" w:space="8" w:color="AB054C"/>
        </w:pBdr>
        <w:ind w:left="851" w:right="1310"/>
        <w:jc w:val="center"/>
        <w:rPr>
          <w:b/>
          <w:bCs/>
          <w:i/>
          <w:iCs/>
          <w:color w:val="990033"/>
          <w:sz w:val="24"/>
          <w:szCs w:val="24"/>
        </w:rPr>
      </w:pPr>
      <w:r w:rsidRPr="00667FC5">
        <w:rPr>
          <w:b/>
          <w:i/>
          <w:iCs/>
          <w:color w:val="990033"/>
          <w:sz w:val="24"/>
          <w:szCs w:val="24"/>
        </w:rPr>
        <w:t>Our purpose:</w:t>
      </w:r>
    </w:p>
    <w:p w:rsidR="00AE6BEA" w:rsidRPr="00AE6BEA" w:rsidRDefault="00AE6BEA" w:rsidP="00AE6BEA">
      <w:pPr>
        <w:pBdr>
          <w:top w:val="single" w:sz="24" w:space="8" w:color="AB054C"/>
          <w:bottom w:val="single" w:sz="24" w:space="8" w:color="AB054C"/>
        </w:pBdr>
        <w:ind w:left="851" w:right="1310"/>
        <w:jc w:val="center"/>
        <w:rPr>
          <w:i/>
          <w:iCs/>
          <w:color w:val="990033"/>
          <w:sz w:val="24"/>
          <w:szCs w:val="24"/>
        </w:rPr>
      </w:pPr>
      <w:r w:rsidRPr="00AE6BEA">
        <w:rPr>
          <w:i/>
          <w:iCs/>
          <w:color w:val="990033"/>
          <w:sz w:val="24"/>
          <w:szCs w:val="24"/>
        </w:rPr>
        <w:t>To enable confidence in Queensland’s emergency management arrangements.</w:t>
      </w:r>
    </w:p>
    <w:p w:rsidR="00AE6BEA" w:rsidRPr="00AE6BEA" w:rsidRDefault="00AE6BEA" w:rsidP="00B81DAB">
      <w:pPr>
        <w:pStyle w:val="Heading3"/>
      </w:pPr>
      <w:r w:rsidRPr="00A250E2">
        <w:t>Our environment</w:t>
      </w:r>
    </w:p>
    <w:p w:rsidR="001B1354" w:rsidRDefault="001B1354" w:rsidP="001B1354">
      <w:pPr>
        <w:pStyle w:val="BodyText"/>
      </w:pPr>
      <w:r w:rsidRPr="00A250E2">
        <w:t>As a result of Queensland’s geography and climate, Queensland will continue to</w:t>
      </w:r>
      <w:r w:rsidRPr="00A250E2">
        <w:rPr>
          <w:spacing w:val="-21"/>
        </w:rPr>
        <w:t xml:space="preserve"> </w:t>
      </w:r>
      <w:r w:rsidRPr="00A250E2">
        <w:t xml:space="preserve">experience significant </w:t>
      </w:r>
      <w:r w:rsidRPr="001B1354">
        <w:rPr>
          <w:lang w:val="en-AU"/>
        </w:rPr>
        <w:t>natural</w:t>
      </w:r>
      <w:r w:rsidRPr="00A250E2">
        <w:t xml:space="preserve"> disasters, with flooding and tropical cyclones (including storm tide and</w:t>
      </w:r>
      <w:r w:rsidRPr="00A250E2">
        <w:rPr>
          <w:spacing w:val="-32"/>
        </w:rPr>
        <w:t xml:space="preserve"> </w:t>
      </w:r>
      <w:r w:rsidRPr="00A250E2">
        <w:t>cyclonic winds) among the most damaging natural</w:t>
      </w:r>
      <w:r w:rsidRPr="00A250E2">
        <w:rPr>
          <w:spacing w:val="-7"/>
        </w:rPr>
        <w:t xml:space="preserve"> </w:t>
      </w:r>
      <w:r w:rsidR="004F7F82">
        <w:t xml:space="preserve">hazards. </w:t>
      </w:r>
      <w:r>
        <w:rPr>
          <w:rStyle w:val="FootnoteReference"/>
        </w:rPr>
        <w:footnoteReference w:id="1"/>
      </w:r>
      <w:r>
        <w:t xml:space="preserve"> Communities expect that disaster management entities will be present and able to respond in times of disaster.</w:t>
      </w:r>
    </w:p>
    <w:p w:rsidR="00AE6BEA" w:rsidRDefault="00AE6BEA" w:rsidP="00AE6BEA">
      <w:pPr>
        <w:pStyle w:val="BodyText"/>
        <w:rPr>
          <w:lang w:val="en-AU"/>
        </w:rPr>
      </w:pPr>
      <w:r w:rsidRPr="004963D3">
        <w:rPr>
          <w:lang w:val="en-AU"/>
        </w:rPr>
        <w:t xml:space="preserve">With an ongoing mandate to provide confidence in Queensland’s disaster management arrangements, the single most important imperative for the </w:t>
      </w:r>
      <w:r w:rsidR="004F7F82">
        <w:rPr>
          <w:lang w:val="en-AU"/>
        </w:rPr>
        <w:t xml:space="preserve">Office of the </w:t>
      </w:r>
      <w:r w:rsidRPr="004963D3">
        <w:rPr>
          <w:lang w:val="en-AU"/>
        </w:rPr>
        <w:t>IGEM is to continue to find ways to reduce barriers to responsive and integrated disaster management,</w:t>
      </w:r>
      <w:r>
        <w:rPr>
          <w:lang w:val="en-AU"/>
        </w:rPr>
        <w:t xml:space="preserve"> and</w:t>
      </w:r>
      <w:r w:rsidRPr="004963D3">
        <w:rPr>
          <w:lang w:val="en-AU"/>
        </w:rPr>
        <w:t xml:space="preserve"> </w:t>
      </w:r>
      <w:r w:rsidR="00924ECD">
        <w:rPr>
          <w:lang w:val="en-AU"/>
        </w:rPr>
        <w:t xml:space="preserve">to </w:t>
      </w:r>
      <w:r w:rsidRPr="004963D3">
        <w:rPr>
          <w:lang w:val="en-AU"/>
        </w:rPr>
        <w:t>identif</w:t>
      </w:r>
      <w:r w:rsidR="00924ECD">
        <w:rPr>
          <w:lang w:val="en-AU"/>
        </w:rPr>
        <w:t>y</w:t>
      </w:r>
      <w:r w:rsidRPr="004963D3">
        <w:rPr>
          <w:lang w:val="en-AU"/>
        </w:rPr>
        <w:t xml:space="preserve"> ways for closer integration of local governments, state agencies and other partners</w:t>
      </w:r>
      <w:r w:rsidR="00F24BB9">
        <w:rPr>
          <w:lang w:val="en-AU"/>
        </w:rPr>
        <w:t xml:space="preserve">. </w:t>
      </w:r>
      <w:r w:rsidRPr="004963D3">
        <w:rPr>
          <w:lang w:val="en-AU"/>
        </w:rPr>
        <w:t xml:space="preserve">The </w:t>
      </w:r>
      <w:r w:rsidR="004F7F82">
        <w:rPr>
          <w:lang w:val="en-AU"/>
        </w:rPr>
        <w:t xml:space="preserve">Office of the </w:t>
      </w:r>
      <w:r w:rsidRPr="004963D3">
        <w:rPr>
          <w:lang w:val="en-AU"/>
        </w:rPr>
        <w:t>IGEM is focussed on ensuring that unambiguous language enables clear understanding of shared responsibilities and accountabilities and, in the context of leadership across the system, ensuring performance is measured against outcomes achieved. With a stronger focus emerging on mitigation there will be a need to consider proactive means of evaluating the predicted outcomes of these activities.</w:t>
      </w:r>
    </w:p>
    <w:p w:rsidR="00185C72" w:rsidRDefault="00185C72">
      <w:pPr>
        <w:rPr>
          <w:rFonts w:ascii="Arial Bold" w:eastAsia="Calibri" w:hAnsi="Arial Bold"/>
          <w:b/>
          <w:bCs/>
          <w:sz w:val="28"/>
          <w14:ligatures w14:val="standardContextual"/>
        </w:rPr>
      </w:pPr>
      <w:r>
        <w:br w:type="page"/>
      </w:r>
    </w:p>
    <w:p w:rsidR="00AE6BEA" w:rsidRPr="00AE6BEA" w:rsidRDefault="00AE6BEA" w:rsidP="00B81DAB">
      <w:pPr>
        <w:pStyle w:val="Heading3"/>
      </w:pPr>
      <w:r w:rsidRPr="00A250E2">
        <w:lastRenderedPageBreak/>
        <w:t>Our accountabilities</w:t>
      </w:r>
    </w:p>
    <w:p w:rsidR="00AE6BEA" w:rsidRPr="00A250E2" w:rsidRDefault="00AE6BEA" w:rsidP="00AE6BEA">
      <w:pPr>
        <w:spacing w:line="252" w:lineRule="exact"/>
        <w:rPr>
          <w:rFonts w:eastAsia="Arial"/>
        </w:rPr>
      </w:pPr>
      <w:r w:rsidRPr="00A250E2">
        <w:t>The functions of the Office of the I</w:t>
      </w:r>
      <w:r>
        <w:t>GEM</w:t>
      </w:r>
      <w:r w:rsidRPr="00A250E2">
        <w:t xml:space="preserve"> under the </w:t>
      </w:r>
      <w:r w:rsidRPr="00A250E2">
        <w:rPr>
          <w:i/>
        </w:rPr>
        <w:t>Disaster Management Act 2003</w:t>
      </w:r>
      <w:r w:rsidRPr="00A250E2">
        <w:t>, include:</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A250E2">
        <w:t xml:space="preserve">regularly review and assess the </w:t>
      </w:r>
      <w:r w:rsidRPr="00207679">
        <w:rPr>
          <w:bCs/>
        </w:rPr>
        <w:t>effectiveness</w:t>
      </w:r>
      <w:r w:rsidRPr="00A250E2">
        <w:t xml:space="preserve"> of disaster management by the state, including</w:t>
      </w:r>
      <w:r w:rsidRPr="00A250E2">
        <w:rPr>
          <w:spacing w:val="-33"/>
        </w:rPr>
        <w:t xml:space="preserve"> </w:t>
      </w:r>
      <w:r w:rsidRPr="00A250E2">
        <w:t>the</w:t>
      </w:r>
      <w:r w:rsidRPr="00A250E2">
        <w:rPr>
          <w:spacing w:val="-1"/>
        </w:rPr>
        <w:t xml:space="preserve"> </w:t>
      </w:r>
      <w:r w:rsidRPr="00A250E2">
        <w:t>State Disaster Management Plan and its</w:t>
      </w:r>
      <w:r w:rsidRPr="00A250E2">
        <w:rPr>
          <w:spacing w:val="-5"/>
        </w:rPr>
        <w:t xml:space="preserve"> </w:t>
      </w:r>
      <w:r w:rsidRPr="00A250E2">
        <w:t>implementation</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regularly</w:t>
      </w:r>
      <w:r w:rsidRPr="00A250E2">
        <w:t xml:space="preserve"> review and assess the effectiveness of disaster management by district and</w:t>
      </w:r>
      <w:r w:rsidRPr="00A250E2">
        <w:rPr>
          <w:spacing w:val="-31"/>
        </w:rPr>
        <w:t xml:space="preserve"> </w:t>
      </w:r>
      <w:r w:rsidRPr="00A250E2">
        <w:t>local</w:t>
      </w:r>
      <w:r w:rsidRPr="00A250E2">
        <w:rPr>
          <w:spacing w:val="-1"/>
        </w:rPr>
        <w:t xml:space="preserve"> </w:t>
      </w:r>
      <w:r w:rsidRPr="00A250E2">
        <w:t>groups, including district and local disaster management</w:t>
      </w:r>
      <w:r w:rsidRPr="00A250E2">
        <w:rPr>
          <w:spacing w:val="-4"/>
        </w:rPr>
        <w:t xml:space="preserve"> </w:t>
      </w:r>
      <w:r w:rsidRPr="00A250E2">
        <w:t>plans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regularly</w:t>
      </w:r>
      <w:r w:rsidRPr="00A250E2">
        <w:t xml:space="preserve"> review and assess cooperation between entities responsible for disaster</w:t>
      </w:r>
      <w:r w:rsidRPr="00A250E2">
        <w:rPr>
          <w:spacing w:val="-35"/>
        </w:rPr>
        <w:t xml:space="preserve"> </w:t>
      </w:r>
      <w:r w:rsidRPr="00A250E2">
        <w:t>management</w:t>
      </w:r>
      <w:r w:rsidRPr="00A250E2">
        <w:rPr>
          <w:spacing w:val="-1"/>
        </w:rPr>
        <w:t xml:space="preserve"> </w:t>
      </w:r>
      <w:r w:rsidRPr="00A250E2">
        <w:t>in the state, including whether the disaster management systems and procedures employed</w:t>
      </w:r>
      <w:r w:rsidRPr="00A250E2">
        <w:rPr>
          <w:spacing w:val="-32"/>
        </w:rPr>
        <w:t xml:space="preserve"> </w:t>
      </w:r>
      <w:r w:rsidRPr="00A250E2">
        <w:t>by</w:t>
      </w:r>
      <w:r w:rsidRPr="00A250E2">
        <w:rPr>
          <w:spacing w:val="-1"/>
        </w:rPr>
        <w:t xml:space="preserve"> </w:t>
      </w:r>
      <w:r w:rsidRPr="00A250E2">
        <w:t>those entities are compatible and</w:t>
      </w:r>
      <w:r w:rsidRPr="00A250E2">
        <w:rPr>
          <w:spacing w:val="-2"/>
        </w:rPr>
        <w:t xml:space="preserve"> </w:t>
      </w:r>
      <w:r w:rsidRPr="00A250E2">
        <w:t>consistent</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make</w:t>
      </w:r>
      <w:r w:rsidRPr="00A250E2">
        <w:t xml:space="preserve"> disaster management</w:t>
      </w:r>
      <w:r w:rsidRPr="00A250E2">
        <w:rPr>
          <w:spacing w:val="-2"/>
        </w:rPr>
        <w:t xml:space="preserve"> </w:t>
      </w:r>
      <w:r w:rsidRPr="00A250E2">
        <w:t>standards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regularly</w:t>
      </w:r>
      <w:r w:rsidRPr="00A250E2">
        <w:t xml:space="preserve"> review and assess disaster management</w:t>
      </w:r>
      <w:r w:rsidRPr="00A250E2">
        <w:rPr>
          <w:spacing w:val="-5"/>
        </w:rPr>
        <w:t xml:space="preserve"> </w:t>
      </w:r>
      <w:r w:rsidRPr="00A250E2">
        <w:t>standards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review</w:t>
      </w:r>
      <w:r w:rsidRPr="00A250E2">
        <w:t>, assess and report on performance by entities responsible for disaster management in</w:t>
      </w:r>
      <w:r w:rsidRPr="00A250E2">
        <w:rPr>
          <w:spacing w:val="-31"/>
        </w:rPr>
        <w:t xml:space="preserve"> </w:t>
      </w:r>
      <w:r w:rsidRPr="00A250E2">
        <w:t>the</w:t>
      </w:r>
      <w:r w:rsidRPr="00A250E2">
        <w:rPr>
          <w:spacing w:val="-1"/>
        </w:rPr>
        <w:t xml:space="preserve"> </w:t>
      </w:r>
      <w:r w:rsidRPr="00A250E2">
        <w:t>state against the disaster management</w:t>
      </w:r>
      <w:r w:rsidRPr="00A250E2">
        <w:rPr>
          <w:spacing w:val="-8"/>
        </w:rPr>
        <w:t xml:space="preserve"> </w:t>
      </w:r>
      <w:r w:rsidRPr="00A250E2">
        <w:t>standards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work</w:t>
      </w:r>
      <w:r w:rsidRPr="00A250E2">
        <w:t xml:space="preserve"> with entities performing emergency services, departments and the community to</w:t>
      </w:r>
      <w:r w:rsidRPr="00A250E2">
        <w:rPr>
          <w:spacing w:val="-29"/>
        </w:rPr>
        <w:t xml:space="preserve"> </w:t>
      </w:r>
      <w:r w:rsidRPr="00A250E2">
        <w:t>identify and improve disaster management capabilities, including volunteer</w:t>
      </w:r>
      <w:r w:rsidRPr="00A250E2">
        <w:rPr>
          <w:spacing w:val="-5"/>
        </w:rPr>
        <w:t xml:space="preserve"> </w:t>
      </w:r>
      <w:r w:rsidRPr="00A250E2">
        <w:t>capabilities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monitor</w:t>
      </w:r>
      <w:r w:rsidRPr="00A250E2">
        <w:t xml:space="preserve"> compliance by departments with their disaster management</w:t>
      </w:r>
      <w:r w:rsidRPr="00A250E2">
        <w:rPr>
          <w:spacing w:val="-15"/>
        </w:rPr>
        <w:t xml:space="preserve"> </w:t>
      </w:r>
      <w:r w:rsidRPr="00A250E2">
        <w:t>responsibilities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207679">
        <w:rPr>
          <w:bCs/>
        </w:rPr>
        <w:t>identify</w:t>
      </w:r>
      <w:r w:rsidRPr="00A250E2">
        <w:t xml:space="preserve"> opportunities for cooperative partnerships to improve disaster management</w:t>
      </w:r>
      <w:r w:rsidRPr="00A250E2">
        <w:rPr>
          <w:spacing w:val="-24"/>
        </w:rPr>
        <w:t xml:space="preserve"> </w:t>
      </w:r>
      <w:r w:rsidRPr="00A250E2">
        <w:t>outcomes</w:t>
      </w:r>
    </w:p>
    <w:p w:rsidR="00AE6BEA" w:rsidRPr="00A250E2" w:rsidRDefault="00AE6BEA" w:rsidP="00207679">
      <w:pPr>
        <w:pStyle w:val="ListParagraph"/>
        <w:widowControl w:val="0"/>
        <w:numPr>
          <w:ilvl w:val="0"/>
          <w:numId w:val="25"/>
        </w:numPr>
        <w:tabs>
          <w:tab w:val="left" w:pos="473"/>
        </w:tabs>
        <w:spacing w:after="0"/>
        <w:ind w:left="472"/>
        <w:contextualSpacing w:val="0"/>
        <w:rPr>
          <w:rFonts w:eastAsia="Arial"/>
        </w:rPr>
      </w:pPr>
      <w:r w:rsidRPr="00A250E2">
        <w:t>report to, and advise, the Minister for Police, Fire and Emergency Services and Minister</w:t>
      </w:r>
      <w:r w:rsidRPr="00A250E2">
        <w:rPr>
          <w:spacing w:val="-31"/>
        </w:rPr>
        <w:t xml:space="preserve"> </w:t>
      </w:r>
      <w:r w:rsidRPr="00A250E2">
        <w:t xml:space="preserve">for </w:t>
      </w:r>
      <w:r w:rsidRPr="00207679">
        <w:rPr>
          <w:bCs/>
        </w:rPr>
        <w:t>Corrective</w:t>
      </w:r>
      <w:r w:rsidRPr="00A250E2">
        <w:t xml:space="preserve"> Services about issues relating to the abovementioned</w:t>
      </w:r>
      <w:r w:rsidRPr="00A250E2">
        <w:rPr>
          <w:spacing w:val="-11"/>
        </w:rPr>
        <w:t xml:space="preserve"> </w:t>
      </w:r>
      <w:r w:rsidRPr="00A250E2">
        <w:t>functions.</w:t>
      </w:r>
    </w:p>
    <w:p w:rsidR="00AE6BEA" w:rsidRPr="00A250E2" w:rsidRDefault="00AE6BEA" w:rsidP="00AE6BEA">
      <w:pPr>
        <w:spacing w:line="252" w:lineRule="exact"/>
      </w:pPr>
      <w:r w:rsidRPr="00A250E2">
        <w:t>The Office of the IGEM provides independent assurance and advice about Queensland’s</w:t>
      </w:r>
      <w:r w:rsidRPr="00A250E2">
        <w:rPr>
          <w:spacing w:val="-33"/>
        </w:rPr>
        <w:t xml:space="preserve"> </w:t>
      </w:r>
      <w:r w:rsidRPr="00A250E2">
        <w:t>em</w:t>
      </w:r>
      <w:r>
        <w:t>ergency management arrangements, with a focus on a risk based approach, including undertaking reviews that may arise from future disaster events</w:t>
      </w:r>
      <w:r w:rsidR="00F24BB9">
        <w:t xml:space="preserve">. </w:t>
      </w:r>
      <w:r>
        <w:t>The Office of the IGEM also</w:t>
      </w:r>
      <w:r w:rsidRPr="00A250E2">
        <w:t xml:space="preserve"> </w:t>
      </w:r>
      <w:r>
        <w:t xml:space="preserve">provides </w:t>
      </w:r>
      <w:r w:rsidRPr="00A250E2">
        <w:t>authoritative reporting to enhance accountability and</w:t>
      </w:r>
      <w:r w:rsidRPr="00A250E2">
        <w:rPr>
          <w:spacing w:val="-13"/>
        </w:rPr>
        <w:t xml:space="preserve"> </w:t>
      </w:r>
      <w:r w:rsidRPr="00A250E2">
        <w:t>improve outcomes for the</w:t>
      </w:r>
      <w:r w:rsidRPr="00A250E2">
        <w:rPr>
          <w:spacing w:val="-11"/>
        </w:rPr>
        <w:t xml:space="preserve"> </w:t>
      </w:r>
      <w:r w:rsidRPr="00A250E2">
        <w:t>community.</w:t>
      </w:r>
    </w:p>
    <w:p w:rsidR="00AE6BEA" w:rsidRPr="00A250E2" w:rsidRDefault="00AE6BEA" w:rsidP="00AE6BEA">
      <w:pPr>
        <w:spacing w:line="252" w:lineRule="exact"/>
      </w:pPr>
      <w:r w:rsidRPr="00A250E2">
        <w:t>The Office of the IGEM has established the Standard for Disaster Management in</w:t>
      </w:r>
      <w:r w:rsidRPr="00A250E2">
        <w:rPr>
          <w:spacing w:val="-28"/>
        </w:rPr>
        <w:t xml:space="preserve"> </w:t>
      </w:r>
      <w:r w:rsidRPr="00A250E2">
        <w:t>Queensland</w:t>
      </w:r>
      <w:r w:rsidR="001B1354">
        <w:t xml:space="preserve"> (the Standard)</w:t>
      </w:r>
      <w:r w:rsidRPr="00A250E2">
        <w:t>,</w:t>
      </w:r>
      <w:r w:rsidRPr="00A250E2">
        <w:rPr>
          <w:spacing w:val="-1"/>
        </w:rPr>
        <w:t xml:space="preserve"> </w:t>
      </w:r>
      <w:r w:rsidRPr="00A250E2">
        <w:t>which forms part of the Emergency Management Assurance Framework. The Office</w:t>
      </w:r>
      <w:r w:rsidRPr="00A250E2">
        <w:rPr>
          <w:spacing w:val="-32"/>
        </w:rPr>
        <w:t xml:space="preserve"> </w:t>
      </w:r>
      <w:r w:rsidRPr="00A250E2">
        <w:t>undertakes</w:t>
      </w:r>
      <w:r w:rsidRPr="00A250E2">
        <w:rPr>
          <w:spacing w:val="-1"/>
        </w:rPr>
        <w:t xml:space="preserve"> </w:t>
      </w:r>
      <w:r w:rsidRPr="00A250E2">
        <w:t>targeted reviews and system analysis to identify risks to emergency management</w:t>
      </w:r>
      <w:r w:rsidRPr="00A250E2">
        <w:rPr>
          <w:spacing w:val="-24"/>
        </w:rPr>
        <w:t xml:space="preserve"> </w:t>
      </w:r>
      <w:r w:rsidRPr="00A250E2">
        <w:t>planning,</w:t>
      </w:r>
      <w:r w:rsidRPr="00A250E2">
        <w:rPr>
          <w:spacing w:val="-1"/>
        </w:rPr>
        <w:t xml:space="preserve"> </w:t>
      </w:r>
      <w:r w:rsidRPr="00A250E2">
        <w:t>preparedness, response and recovery arrangements and recommends</w:t>
      </w:r>
      <w:r w:rsidRPr="00A250E2">
        <w:rPr>
          <w:spacing w:val="-18"/>
        </w:rPr>
        <w:t xml:space="preserve"> </w:t>
      </w:r>
      <w:r w:rsidRPr="00A250E2">
        <w:t>evidence-based</w:t>
      </w:r>
      <w:r w:rsidRPr="00A250E2">
        <w:rPr>
          <w:spacing w:val="-1"/>
        </w:rPr>
        <w:t xml:space="preserve"> </w:t>
      </w:r>
      <w:r w:rsidRPr="00A250E2">
        <w:t>improvements.</w:t>
      </w:r>
    </w:p>
    <w:p w:rsidR="00B50C2F" w:rsidRDefault="00B50C2F">
      <w:pPr>
        <w:rPr>
          <w:rFonts w:ascii="Arial Bold" w:eastAsia="Calibri" w:hAnsi="Arial Bold"/>
          <w:b/>
          <w:bCs/>
          <w:sz w:val="28"/>
          <w14:ligatures w14:val="standardContextual"/>
        </w:rPr>
      </w:pPr>
      <w:bookmarkStart w:id="80" w:name="_bookmark0"/>
      <w:bookmarkEnd w:id="80"/>
      <w:r>
        <w:br w:type="page"/>
      </w:r>
    </w:p>
    <w:p w:rsidR="00AE6BEA" w:rsidRPr="00341581" w:rsidRDefault="00AE6BEA" w:rsidP="00B81DAB">
      <w:pPr>
        <w:pStyle w:val="Heading3"/>
      </w:pPr>
      <w:r>
        <w:lastRenderedPageBreak/>
        <w:t>Queensland Government’s o</w:t>
      </w:r>
      <w:r w:rsidRPr="00341581">
        <w:t>bjectives</w:t>
      </w:r>
    </w:p>
    <w:p w:rsidR="00AE6BEA" w:rsidRPr="009244FC" w:rsidRDefault="00AE6BEA" w:rsidP="00AE6BEA">
      <w:pPr>
        <w:spacing w:line="252" w:lineRule="exact"/>
      </w:pPr>
      <w:r w:rsidRPr="009244FC">
        <w:t>The Queensland Government works closely with all Queenslanders to deliver its objectives for</w:t>
      </w:r>
      <w:r w:rsidRPr="009244FC">
        <w:rPr>
          <w:spacing w:val="-33"/>
        </w:rPr>
        <w:t xml:space="preserve"> </w:t>
      </w:r>
      <w:r w:rsidRPr="009244FC">
        <w:t>the community. Integrity, accountability and consultation underpin everything the Queensland Government does.</w:t>
      </w:r>
    </w:p>
    <w:p w:rsidR="00AE6BEA" w:rsidRDefault="00AE6BEA" w:rsidP="002775EB">
      <w:pPr>
        <w:pStyle w:val="BodyText"/>
        <w:spacing w:before="1"/>
        <w:ind w:right="223"/>
        <w:jc w:val="center"/>
        <w:rPr>
          <w:highlight w:val="yellow"/>
        </w:rPr>
      </w:pPr>
      <w:r w:rsidRPr="0077204C">
        <w:rPr>
          <w:noProof/>
          <w:lang w:val="en-AU" w:eastAsia="en-AU"/>
        </w:rPr>
        <w:drawing>
          <wp:inline distT="0" distB="0" distL="0" distR="0" wp14:anchorId="31ADA405" wp14:editId="6D7A2809">
            <wp:extent cx="4895850" cy="4895850"/>
            <wp:effectExtent l="0" t="0" r="0" b="0"/>
            <wp:docPr id="17" name="Picture 17" descr="C:\Users\DRGRAHAM\AppData\Local\Microsoft\Windows\Temporary Internet Files\Content.Outlook\QM9HVSUT\Govt objectives for the community diagram - transparent background PNG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RGRAHAM\AppData\Local\Microsoft\Windows\Temporary Internet Files\Content.Outlook\QM9HVSUT\Govt objectives for the community diagram - transparent background PNG (000000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850" cy="4895850"/>
                    </a:xfrm>
                    <a:prstGeom prst="rect">
                      <a:avLst/>
                    </a:prstGeom>
                    <a:noFill/>
                    <a:ln>
                      <a:noFill/>
                    </a:ln>
                  </pic:spPr>
                </pic:pic>
              </a:graphicData>
            </a:graphic>
          </wp:inline>
        </w:drawing>
      </w:r>
    </w:p>
    <w:p w:rsidR="00AE6BEA" w:rsidRDefault="00AE6BEA" w:rsidP="00AE6BEA">
      <w:pPr>
        <w:pStyle w:val="BodyText"/>
        <w:spacing w:before="1"/>
        <w:ind w:right="223"/>
        <w:rPr>
          <w:highlight w:val="yellow"/>
        </w:rPr>
      </w:pPr>
    </w:p>
    <w:p w:rsidR="00AE6BEA" w:rsidRPr="007C1A26" w:rsidRDefault="00AE6BEA" w:rsidP="00AE6BEA">
      <w:pPr>
        <w:spacing w:line="252" w:lineRule="exact"/>
      </w:pPr>
      <w:r w:rsidRPr="009C4949">
        <w:rPr>
          <w:i/>
        </w:rPr>
        <w:t xml:space="preserve">The Queensland Plan </w:t>
      </w:r>
      <w:r w:rsidRPr="009C4949">
        <w:t>is the community’s</w:t>
      </w:r>
      <w:r w:rsidRPr="007C1A26">
        <w:t xml:space="preserve"> 30-year vision for the state. The</w:t>
      </w:r>
      <w:r w:rsidRPr="007C1A26">
        <w:rPr>
          <w:spacing w:val="-14"/>
        </w:rPr>
        <w:t xml:space="preserve"> </w:t>
      </w:r>
      <w:r w:rsidRPr="007C1A26">
        <w:t>Queensland</w:t>
      </w:r>
      <w:r w:rsidRPr="007C1A26">
        <w:rPr>
          <w:spacing w:val="-1"/>
        </w:rPr>
        <w:t xml:space="preserve"> </w:t>
      </w:r>
      <w:r w:rsidRPr="007C1A26">
        <w:t>Government’s Interim Response (the Interim Response) outlines the key services, programs</w:t>
      </w:r>
      <w:r w:rsidRPr="007C1A26">
        <w:rPr>
          <w:spacing w:val="-30"/>
        </w:rPr>
        <w:t xml:space="preserve"> </w:t>
      </w:r>
      <w:r w:rsidRPr="007C1A26">
        <w:t>and</w:t>
      </w:r>
      <w:r w:rsidRPr="007C1A26">
        <w:rPr>
          <w:spacing w:val="-1"/>
        </w:rPr>
        <w:t xml:space="preserve"> </w:t>
      </w:r>
      <w:r w:rsidRPr="007C1A26">
        <w:t>partnerships that will help improve Queenslanders’ way of life today and proactively</w:t>
      </w:r>
      <w:r w:rsidRPr="007C1A26">
        <w:rPr>
          <w:spacing w:val="-27"/>
        </w:rPr>
        <w:t xml:space="preserve"> </w:t>
      </w:r>
      <w:r w:rsidRPr="007C1A26">
        <w:t>position</w:t>
      </w:r>
      <w:r w:rsidRPr="007C1A26">
        <w:rPr>
          <w:spacing w:val="-1"/>
        </w:rPr>
        <w:t xml:space="preserve"> </w:t>
      </w:r>
      <w:r w:rsidRPr="007C1A26">
        <w:t xml:space="preserve">Queensland for the future. </w:t>
      </w:r>
      <w:r w:rsidRPr="007C1A26">
        <w:rPr>
          <w:i/>
        </w:rPr>
        <w:t xml:space="preserve">The Queensland Plan </w:t>
      </w:r>
      <w:r w:rsidRPr="007C1A26">
        <w:t>and the Interim Response are available</w:t>
      </w:r>
      <w:r w:rsidRPr="007C1A26">
        <w:rPr>
          <w:spacing w:val="-32"/>
        </w:rPr>
        <w:t xml:space="preserve"> </w:t>
      </w:r>
      <w:r w:rsidRPr="007C1A26">
        <w:t>online</w:t>
      </w:r>
      <w:r w:rsidRPr="007C1A26">
        <w:rPr>
          <w:spacing w:val="-1"/>
        </w:rPr>
        <w:t xml:space="preserve"> </w:t>
      </w:r>
      <w:r w:rsidRPr="007C1A26">
        <w:t>(</w:t>
      </w:r>
      <w:hyperlink r:id="rId54">
        <w:r w:rsidRPr="006266C6">
          <w:rPr>
            <w:rStyle w:val="Hyperlink"/>
            <w:color w:val="AB054C"/>
          </w:rPr>
          <w:t>www.queenslandplan.qld.gov.au/</w:t>
        </w:r>
      </w:hyperlink>
      <w:r w:rsidRPr="007C1A26">
        <w:t>).</w:t>
      </w:r>
    </w:p>
    <w:p w:rsidR="00AE6BEA" w:rsidRPr="00A250E2" w:rsidRDefault="00AE6BEA" w:rsidP="00AE6BEA">
      <w:pPr>
        <w:spacing w:line="252" w:lineRule="exact"/>
      </w:pPr>
      <w:r w:rsidRPr="007C1A26">
        <w:t>The Interim Response supports the Queensland Government’s objectives for the community</w:t>
      </w:r>
      <w:r w:rsidRPr="007C1A26">
        <w:rPr>
          <w:spacing w:val="-27"/>
        </w:rPr>
        <w:t xml:space="preserve"> </w:t>
      </w:r>
      <w:r w:rsidRPr="007C1A26">
        <w:t>and</w:t>
      </w:r>
      <w:r w:rsidRPr="007C1A26">
        <w:rPr>
          <w:spacing w:val="-1"/>
        </w:rPr>
        <w:t xml:space="preserve"> </w:t>
      </w:r>
      <w:r w:rsidRPr="007C1A26">
        <w:t>identifies the priorities and key initiatives that will contribute towards implementing</w:t>
      </w:r>
      <w:r w:rsidRPr="007C1A26">
        <w:rPr>
          <w:spacing w:val="-29"/>
        </w:rPr>
        <w:t xml:space="preserve"> </w:t>
      </w:r>
      <w:r w:rsidRPr="007C1A26">
        <w:t>Queenslanders’ vision. The Office of the IGEM’s policies, programs and services align with the Interim</w:t>
      </w:r>
      <w:r w:rsidRPr="007C1A26">
        <w:rPr>
          <w:spacing w:val="-28"/>
        </w:rPr>
        <w:t xml:space="preserve"> </w:t>
      </w:r>
      <w:r w:rsidRPr="007C1A26">
        <w:t>Response.</w:t>
      </w:r>
      <w:r>
        <w:t xml:space="preserve"> Further information about the Office of the IGEM’s policies, programs and services can be found in </w:t>
      </w:r>
      <w:r w:rsidR="00C76778">
        <w:t xml:space="preserve">the 2015-16 </w:t>
      </w:r>
      <w:r w:rsidRPr="0031113D">
        <w:t xml:space="preserve">Highlights (refer pages </w:t>
      </w:r>
      <w:r w:rsidR="0031113D" w:rsidRPr="0031113D">
        <w:t>21-31</w:t>
      </w:r>
      <w:r w:rsidRPr="0031113D">
        <w:t>).</w:t>
      </w:r>
    </w:p>
    <w:p w:rsidR="00AE6BEA" w:rsidRPr="00A250E2" w:rsidRDefault="00AE6BEA" w:rsidP="00B81DAB">
      <w:pPr>
        <w:pStyle w:val="Heading3"/>
      </w:pPr>
      <w:r w:rsidRPr="00991936">
        <w:lastRenderedPageBreak/>
        <w:t xml:space="preserve">Our </w:t>
      </w:r>
      <w:r w:rsidRPr="00A250E2">
        <w:t>strategic objectives</w:t>
      </w:r>
    </w:p>
    <w:p w:rsidR="001B1354" w:rsidRDefault="00AE6BEA" w:rsidP="00B50C2F">
      <w:pPr>
        <w:spacing w:line="252" w:lineRule="exact"/>
      </w:pPr>
      <w:r w:rsidRPr="00A250E2">
        <w:t xml:space="preserve">Our strategic objectives, as outlined in </w:t>
      </w:r>
      <w:r>
        <w:t xml:space="preserve">the </w:t>
      </w:r>
      <w:r w:rsidRPr="00A250E2">
        <w:t>Strategic Plan 2015-</w:t>
      </w:r>
      <w:r w:rsidR="00924ECD">
        <w:t>20</w:t>
      </w:r>
      <w:r w:rsidRPr="00A250E2">
        <w:t>19, support the Queensland Government’s objectives for the community of building safe, caring and connected communities and delivering quality frontline services.</w:t>
      </w:r>
    </w:p>
    <w:tbl>
      <w:tblPr>
        <w:tblStyle w:val="PlainTable21"/>
        <w:tblW w:w="0" w:type="auto"/>
        <w:tblLayout w:type="fixed"/>
        <w:tblLook w:val="04A0" w:firstRow="1" w:lastRow="0" w:firstColumn="1" w:lastColumn="0" w:noHBand="0" w:noVBand="1"/>
      </w:tblPr>
      <w:tblGrid>
        <w:gridCol w:w="414"/>
        <w:gridCol w:w="2988"/>
        <w:gridCol w:w="6740"/>
      </w:tblGrid>
      <w:tr w:rsidR="00AE6BEA" w:rsidRPr="00AE6BEA" w:rsidTr="00AE6BE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12" w:space="0" w:color="8A002E"/>
              <w:left w:val="single" w:sz="12" w:space="0" w:color="8A002E"/>
              <w:bottom w:val="nil"/>
            </w:tcBorders>
            <w:shd w:val="clear" w:color="auto" w:fill="AB054C"/>
          </w:tcPr>
          <w:p w:rsidR="00AE6BEA" w:rsidRPr="00AE6BEA" w:rsidRDefault="00AE6BEA" w:rsidP="00AE6BEA">
            <w:pPr>
              <w:widowControl w:val="0"/>
              <w:spacing w:before="0"/>
              <w:ind w:right="612"/>
              <w:contextualSpacing/>
              <w:rPr>
                <w:rFonts w:eastAsia="Cambria"/>
                <w:color w:val="FFFFFF"/>
                <w:sz w:val="24"/>
              </w:rPr>
            </w:pPr>
            <w:r w:rsidRPr="00AE6BEA">
              <w:rPr>
                <w:rFonts w:eastAsia="Cambria"/>
                <w:color w:val="FFFFFF"/>
                <w:sz w:val="24"/>
              </w:rPr>
              <w:t xml:space="preserve">Objective </w:t>
            </w:r>
          </w:p>
        </w:tc>
        <w:tc>
          <w:tcPr>
            <w:tcW w:w="6740" w:type="dxa"/>
            <w:tcBorders>
              <w:top w:val="single" w:sz="12" w:space="0" w:color="8A002E"/>
              <w:bottom w:val="nil"/>
              <w:right w:val="single" w:sz="12" w:space="0" w:color="8A002E"/>
            </w:tcBorders>
            <w:shd w:val="clear" w:color="auto" w:fill="AB054C"/>
          </w:tcPr>
          <w:p w:rsidR="00AE6BEA" w:rsidRPr="00AE6BEA" w:rsidRDefault="00AE6BEA" w:rsidP="00AE6BEA">
            <w:pPr>
              <w:widowControl w:val="0"/>
              <w:ind w:right="612"/>
              <w:contextualSpacing/>
              <w:cnfStyle w:val="100000000000" w:firstRow="1" w:lastRow="0" w:firstColumn="0" w:lastColumn="0" w:oddVBand="0" w:evenVBand="0" w:oddHBand="0" w:evenHBand="0" w:firstRowFirstColumn="0" w:firstRowLastColumn="0" w:lastRowFirstColumn="0" w:lastRowLastColumn="0"/>
              <w:rPr>
                <w:rFonts w:eastAsia="Cambria"/>
                <w:color w:val="FFFFFF"/>
                <w:sz w:val="24"/>
              </w:rPr>
            </w:pPr>
            <w:r w:rsidRPr="00AE6BEA">
              <w:rPr>
                <w:rFonts w:eastAsia="Cambria"/>
                <w:color w:val="FFFFFF"/>
                <w:sz w:val="24"/>
              </w:rPr>
              <w:t>Strategies</w:t>
            </w:r>
          </w:p>
        </w:tc>
      </w:tr>
      <w:tr w:rsidR="00AE6BEA" w:rsidRPr="00AE6BEA" w:rsidTr="00AE6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tcBorders>
              <w:top w:val="nil"/>
              <w:bottom w:val="single" w:sz="12" w:space="0" w:color="AB054C"/>
              <w:right w:val="nil"/>
            </w:tcBorders>
          </w:tcPr>
          <w:p w:rsidR="00AE6BEA" w:rsidRPr="00530C73" w:rsidRDefault="00AE6BEA" w:rsidP="00530C73">
            <w:pPr>
              <w:pStyle w:val="BodyText"/>
              <w:widowControl w:val="0"/>
              <w:contextualSpacing/>
              <w:rPr>
                <w:b w:val="0"/>
                <w:bCs w:val="0"/>
              </w:rPr>
            </w:pPr>
            <w:r w:rsidRPr="00530C73">
              <w:rPr>
                <w:b w:val="0"/>
                <w:bCs w:val="0"/>
              </w:rPr>
              <w:t>1</w:t>
            </w:r>
          </w:p>
        </w:tc>
        <w:tc>
          <w:tcPr>
            <w:tcW w:w="2988" w:type="dxa"/>
            <w:tcBorders>
              <w:top w:val="nil"/>
              <w:bottom w:val="single" w:sz="12" w:space="0" w:color="AB054C"/>
              <w:right w:val="nil"/>
            </w:tcBorders>
          </w:tcPr>
          <w:p w:rsidR="00AE6BEA" w:rsidRPr="00AE6BEA" w:rsidRDefault="00530C73" w:rsidP="00AE6BEA">
            <w:pPr>
              <w:widowControl w:val="0"/>
              <w:spacing w:after="120"/>
              <w:contextualSpacing/>
              <w:cnfStyle w:val="000000100000" w:firstRow="0" w:lastRow="0" w:firstColumn="0" w:lastColumn="0" w:oddVBand="0" w:evenVBand="0" w:oddHBand="1" w:evenHBand="0" w:firstRowFirstColumn="0" w:firstRowLastColumn="0" w:lastRowFirstColumn="0" w:lastRowLastColumn="0"/>
              <w:rPr>
                <w:rFonts w:eastAsia="Cambria"/>
              </w:rPr>
            </w:pPr>
            <w:r w:rsidRPr="00A250E2">
              <w:rPr>
                <w:i/>
              </w:rPr>
              <w:t>To provide independent assurance and advice about emergency management arrangements in Queensland.</w:t>
            </w:r>
          </w:p>
        </w:tc>
        <w:tc>
          <w:tcPr>
            <w:tcW w:w="6740" w:type="dxa"/>
            <w:tcBorders>
              <w:top w:val="nil"/>
              <w:left w:val="nil"/>
              <w:bottom w:val="single" w:sz="12" w:space="0" w:color="AB054C"/>
            </w:tcBorders>
          </w:tcPr>
          <w:p w:rsidR="008547AA" w:rsidRPr="002C3D1A" w:rsidRDefault="008547AA" w:rsidP="006D5DCC">
            <w:pPr>
              <w:widowControl w:val="0"/>
              <w:numPr>
                <w:ilvl w:val="0"/>
                <w:numId w:val="8"/>
              </w:numPr>
              <w:tabs>
                <w:tab w:val="left" w:pos="1107"/>
              </w:tabs>
              <w:ind w:left="357" w:hanging="357"/>
              <w:cnfStyle w:val="000000100000" w:firstRow="0" w:lastRow="0" w:firstColumn="0" w:lastColumn="0" w:oddVBand="0" w:evenVBand="0" w:oddHBand="1" w:evenHBand="0" w:firstRowFirstColumn="0" w:firstRowLastColumn="0" w:lastRowFirstColumn="0" w:lastRowLastColumn="0"/>
            </w:pPr>
            <w:r w:rsidRPr="002C3D1A">
              <w:t>Continue to develop, implement and validate the Emergency Management Assurance Framework in collaboration with stakeholders.</w:t>
            </w:r>
          </w:p>
          <w:p w:rsidR="008547AA" w:rsidRPr="002C3D1A" w:rsidRDefault="008547AA" w:rsidP="006D5DCC">
            <w:pPr>
              <w:widowControl w:val="0"/>
              <w:numPr>
                <w:ilvl w:val="0"/>
                <w:numId w:val="8"/>
              </w:numPr>
              <w:tabs>
                <w:tab w:val="left" w:pos="1107"/>
              </w:tabs>
              <w:ind w:left="357" w:hanging="357"/>
              <w:cnfStyle w:val="000000100000" w:firstRow="0" w:lastRow="0" w:firstColumn="0" w:lastColumn="0" w:oddVBand="0" w:evenVBand="0" w:oddHBand="1" w:evenHBand="0" w:firstRowFirstColumn="0" w:firstRowLastColumn="0" w:lastRowFirstColumn="0" w:lastRowLastColumn="0"/>
            </w:pPr>
            <w:r w:rsidRPr="002C3D1A">
              <w:t>Provide diligent oversight to ensure that accountabilities and responsibilities are known, understood and met across emergency management.</w:t>
            </w:r>
          </w:p>
          <w:p w:rsidR="00AE6BEA" w:rsidRPr="00AE6BEA" w:rsidRDefault="004F7F82" w:rsidP="006D5DCC">
            <w:pPr>
              <w:widowControl w:val="0"/>
              <w:numPr>
                <w:ilvl w:val="0"/>
                <w:numId w:val="8"/>
              </w:numPr>
              <w:tabs>
                <w:tab w:val="left" w:pos="1107"/>
              </w:tabs>
              <w:spacing w:after="120"/>
              <w:ind w:left="357" w:hanging="357"/>
              <w:cnfStyle w:val="000000100000" w:firstRow="0" w:lastRow="0" w:firstColumn="0" w:lastColumn="0" w:oddVBand="0" w:evenVBand="0" w:oddHBand="1" w:evenHBand="0" w:firstRowFirstColumn="0" w:firstRowLastColumn="0" w:lastRowFirstColumn="0" w:lastRowLastColumn="0"/>
              <w:rPr>
                <w:rFonts w:eastAsia="Cambria"/>
              </w:rPr>
            </w:pPr>
            <w:r>
              <w:t>Provide independent, evidence-</w:t>
            </w:r>
            <w:r w:rsidR="008547AA" w:rsidRPr="002C3D1A">
              <w:t>based advice to improve community safety.</w:t>
            </w:r>
          </w:p>
        </w:tc>
      </w:tr>
      <w:tr w:rsidR="00AE6BEA" w:rsidRPr="00AE6BEA" w:rsidTr="00AE6BEA">
        <w:tc>
          <w:tcPr>
            <w:cnfStyle w:val="001000000000" w:firstRow="0" w:lastRow="0" w:firstColumn="1" w:lastColumn="0" w:oddVBand="0" w:evenVBand="0" w:oddHBand="0" w:evenHBand="0" w:firstRowFirstColumn="0" w:firstRowLastColumn="0" w:lastRowFirstColumn="0" w:lastRowLastColumn="0"/>
            <w:tcW w:w="414" w:type="dxa"/>
            <w:tcBorders>
              <w:top w:val="single" w:sz="12" w:space="0" w:color="AB054C"/>
              <w:bottom w:val="single" w:sz="12" w:space="0" w:color="AB054C"/>
            </w:tcBorders>
          </w:tcPr>
          <w:p w:rsidR="00AE6BEA" w:rsidRPr="00530C73" w:rsidRDefault="00AE6BEA" w:rsidP="00530C73">
            <w:pPr>
              <w:pStyle w:val="BodyText"/>
              <w:widowControl w:val="0"/>
              <w:contextualSpacing/>
              <w:rPr>
                <w:b w:val="0"/>
                <w:bCs w:val="0"/>
              </w:rPr>
            </w:pPr>
            <w:r w:rsidRPr="00530C73">
              <w:rPr>
                <w:b w:val="0"/>
                <w:bCs w:val="0"/>
              </w:rPr>
              <w:t>2</w:t>
            </w:r>
          </w:p>
        </w:tc>
        <w:tc>
          <w:tcPr>
            <w:tcW w:w="2988" w:type="dxa"/>
            <w:tcBorders>
              <w:top w:val="single" w:sz="12" w:space="0" w:color="AB054C"/>
              <w:bottom w:val="single" w:sz="12" w:space="0" w:color="AB054C"/>
            </w:tcBorders>
          </w:tcPr>
          <w:p w:rsidR="00AE6BEA" w:rsidRPr="00AE6BEA" w:rsidRDefault="00530C73" w:rsidP="00AE6BEA">
            <w:pPr>
              <w:widowControl w:val="0"/>
              <w:ind w:right="34"/>
              <w:contextualSpacing/>
              <w:cnfStyle w:val="000000000000" w:firstRow="0" w:lastRow="0" w:firstColumn="0" w:lastColumn="0" w:oddVBand="0" w:evenVBand="0" w:oddHBand="0" w:evenHBand="0" w:firstRowFirstColumn="0" w:firstRowLastColumn="0" w:lastRowFirstColumn="0" w:lastRowLastColumn="0"/>
              <w:rPr>
                <w:rFonts w:eastAsia="Cambria"/>
              </w:rPr>
            </w:pPr>
            <w:r w:rsidRPr="00A250E2">
              <w:rPr>
                <w:i/>
              </w:rPr>
              <w:t>To provide authoritative reporting that is used to enhance accountability and improve outcomes for the community.</w:t>
            </w:r>
          </w:p>
        </w:tc>
        <w:tc>
          <w:tcPr>
            <w:tcW w:w="6740" w:type="dxa"/>
            <w:tcBorders>
              <w:top w:val="single" w:sz="12" w:space="0" w:color="AB054C"/>
              <w:bottom w:val="single" w:sz="12" w:space="0" w:color="AB054C"/>
            </w:tcBorders>
          </w:tcPr>
          <w:p w:rsidR="008547AA" w:rsidRPr="002C3D1A" w:rsidRDefault="008547AA" w:rsidP="006D5DCC">
            <w:pPr>
              <w:widowControl w:val="0"/>
              <w:numPr>
                <w:ilvl w:val="0"/>
                <w:numId w:val="8"/>
              </w:numPr>
              <w:tabs>
                <w:tab w:val="left" w:pos="1107"/>
              </w:tabs>
              <w:ind w:left="357" w:hanging="357"/>
              <w:cnfStyle w:val="000000000000" w:firstRow="0" w:lastRow="0" w:firstColumn="0" w:lastColumn="0" w:oddVBand="0" w:evenVBand="0" w:oddHBand="0" w:evenHBand="0" w:firstRowFirstColumn="0" w:firstRowLastColumn="0" w:lastRowFirstColumn="0" w:lastRowLastColumn="0"/>
            </w:pPr>
            <w:r w:rsidRPr="002C3D1A">
              <w:t>Continue to design and implement assurance activities, tools and processes that are valued by our stakeholders and enable transparent monitoring, evaluation and reporting.</w:t>
            </w:r>
          </w:p>
          <w:p w:rsidR="008547AA" w:rsidRPr="002C3D1A" w:rsidRDefault="008547AA" w:rsidP="006D5DCC">
            <w:pPr>
              <w:widowControl w:val="0"/>
              <w:numPr>
                <w:ilvl w:val="0"/>
                <w:numId w:val="8"/>
              </w:numPr>
              <w:tabs>
                <w:tab w:val="left" w:pos="1107"/>
              </w:tabs>
              <w:ind w:left="357" w:hanging="357"/>
              <w:cnfStyle w:val="000000000000" w:firstRow="0" w:lastRow="0" w:firstColumn="0" w:lastColumn="0" w:oddVBand="0" w:evenVBand="0" w:oddHBand="0" w:evenHBand="0" w:firstRowFirstColumn="0" w:firstRowLastColumn="0" w:lastRowFirstColumn="0" w:lastRowLastColumn="0"/>
            </w:pPr>
            <w:r w:rsidRPr="002C3D1A">
              <w:t>Undertake targeted reviews and system analysis that identify risks, gaps and prioritise improvements on the basis of community outcomes.</w:t>
            </w:r>
          </w:p>
          <w:p w:rsidR="00AE6BEA" w:rsidRPr="00AE6BEA" w:rsidRDefault="008547AA" w:rsidP="006D5DCC">
            <w:pPr>
              <w:widowControl w:val="0"/>
              <w:numPr>
                <w:ilvl w:val="0"/>
                <w:numId w:val="8"/>
              </w:numPr>
              <w:tabs>
                <w:tab w:val="left" w:pos="1107"/>
              </w:tabs>
              <w:spacing w:after="120"/>
              <w:ind w:left="357" w:hanging="357"/>
              <w:cnfStyle w:val="000000000000" w:firstRow="0" w:lastRow="0" w:firstColumn="0" w:lastColumn="0" w:oddVBand="0" w:evenVBand="0" w:oddHBand="0" w:evenHBand="0" w:firstRowFirstColumn="0" w:firstRowLastColumn="0" w:lastRowFirstColumn="0" w:lastRowLastColumn="0"/>
              <w:rPr>
                <w:rFonts w:eastAsia="Cambria"/>
              </w:rPr>
            </w:pPr>
            <w:r w:rsidRPr="002C3D1A">
              <w:t>Collaborate with agencies to facilitate solutions and drive a culture of continuous improvement and excellence.</w:t>
            </w:r>
          </w:p>
        </w:tc>
      </w:tr>
      <w:tr w:rsidR="00AE6BEA" w:rsidRPr="00AE6BEA" w:rsidTr="00AE6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tcBorders>
              <w:top w:val="single" w:sz="12" w:space="0" w:color="AB054C"/>
              <w:bottom w:val="single" w:sz="12" w:space="0" w:color="AB054C"/>
            </w:tcBorders>
          </w:tcPr>
          <w:p w:rsidR="00AE6BEA" w:rsidRPr="00530C73" w:rsidRDefault="00AE6BEA" w:rsidP="00530C73">
            <w:pPr>
              <w:pStyle w:val="BodyText"/>
              <w:widowControl w:val="0"/>
              <w:contextualSpacing/>
              <w:rPr>
                <w:b w:val="0"/>
                <w:bCs w:val="0"/>
              </w:rPr>
            </w:pPr>
            <w:r w:rsidRPr="00530C73">
              <w:rPr>
                <w:b w:val="0"/>
                <w:bCs w:val="0"/>
              </w:rPr>
              <w:t>3</w:t>
            </w:r>
          </w:p>
        </w:tc>
        <w:tc>
          <w:tcPr>
            <w:tcW w:w="2988" w:type="dxa"/>
            <w:tcBorders>
              <w:top w:val="single" w:sz="12" w:space="0" w:color="AB054C"/>
              <w:bottom w:val="single" w:sz="12" w:space="0" w:color="AB054C"/>
            </w:tcBorders>
          </w:tcPr>
          <w:p w:rsidR="00AE6BEA" w:rsidRPr="00AE6BEA" w:rsidRDefault="00530C73" w:rsidP="00AE6BEA">
            <w:pPr>
              <w:widowControl w:val="0"/>
              <w:ind w:right="34"/>
              <w:contextualSpacing/>
              <w:cnfStyle w:val="000000100000" w:firstRow="0" w:lastRow="0" w:firstColumn="0" w:lastColumn="0" w:oddVBand="0" w:evenVBand="0" w:oddHBand="1" w:evenHBand="0" w:firstRowFirstColumn="0" w:firstRowLastColumn="0" w:lastRowFirstColumn="0" w:lastRowLastColumn="0"/>
              <w:rPr>
                <w:rFonts w:eastAsia="Cambria"/>
              </w:rPr>
            </w:pPr>
            <w:r w:rsidRPr="00A250E2">
              <w:rPr>
                <w:i/>
              </w:rPr>
              <w:t>To drive a culture of excellence across the emergency management sector by connecting stakeholders, creating partnerships and marshalling expertise.</w:t>
            </w:r>
          </w:p>
        </w:tc>
        <w:tc>
          <w:tcPr>
            <w:tcW w:w="6740" w:type="dxa"/>
            <w:tcBorders>
              <w:top w:val="single" w:sz="12" w:space="0" w:color="AB054C"/>
              <w:bottom w:val="single" w:sz="12" w:space="0" w:color="AB054C"/>
            </w:tcBorders>
          </w:tcPr>
          <w:p w:rsidR="008547AA" w:rsidRPr="002C3D1A" w:rsidRDefault="008547AA" w:rsidP="006D5DCC">
            <w:pPr>
              <w:widowControl w:val="0"/>
              <w:numPr>
                <w:ilvl w:val="0"/>
                <w:numId w:val="9"/>
              </w:numPr>
              <w:tabs>
                <w:tab w:val="left" w:pos="1107"/>
              </w:tabs>
              <w:ind w:left="357" w:hanging="357"/>
              <w:cnfStyle w:val="000000100000" w:firstRow="0" w:lastRow="0" w:firstColumn="0" w:lastColumn="0" w:oddVBand="0" w:evenVBand="0" w:oddHBand="1" w:evenHBand="0" w:firstRowFirstColumn="0" w:firstRowLastColumn="0" w:lastRowFirstColumn="0" w:lastRowLastColumn="0"/>
            </w:pPr>
            <w:r w:rsidRPr="002C3D1A">
              <w:t>Establish trusted partnerships that promote innovation, interoperability, consultation and knowledge transfer across the emergency management sector.</w:t>
            </w:r>
          </w:p>
          <w:p w:rsidR="008547AA" w:rsidRPr="002C3D1A" w:rsidRDefault="008547AA" w:rsidP="006D5DCC">
            <w:pPr>
              <w:widowControl w:val="0"/>
              <w:numPr>
                <w:ilvl w:val="0"/>
                <w:numId w:val="9"/>
              </w:numPr>
              <w:tabs>
                <w:tab w:val="left" w:pos="1107"/>
              </w:tabs>
              <w:ind w:left="357" w:hanging="357"/>
              <w:cnfStyle w:val="000000100000" w:firstRow="0" w:lastRow="0" w:firstColumn="0" w:lastColumn="0" w:oddVBand="0" w:evenVBand="0" w:oddHBand="1" w:evenHBand="0" w:firstRowFirstColumn="0" w:firstRowLastColumn="0" w:lastRowFirstColumn="0" w:lastRowLastColumn="0"/>
            </w:pPr>
            <w:r w:rsidRPr="002C3D1A">
              <w:t>Develop and enhance platforms for engagement that connect stakeholders and enable timely and open communication.</w:t>
            </w:r>
          </w:p>
          <w:p w:rsidR="008547AA" w:rsidRPr="002C3D1A" w:rsidRDefault="008547AA" w:rsidP="006D5DCC">
            <w:pPr>
              <w:widowControl w:val="0"/>
              <w:numPr>
                <w:ilvl w:val="0"/>
                <w:numId w:val="9"/>
              </w:numPr>
              <w:tabs>
                <w:tab w:val="left" w:pos="1107"/>
              </w:tabs>
              <w:ind w:left="357" w:hanging="357"/>
              <w:cnfStyle w:val="000000100000" w:firstRow="0" w:lastRow="0" w:firstColumn="0" w:lastColumn="0" w:oddVBand="0" w:evenVBand="0" w:oddHBand="1" w:evenHBand="0" w:firstRowFirstColumn="0" w:firstRowLastColumn="0" w:lastRowFirstColumn="0" w:lastRowLastColumn="0"/>
            </w:pPr>
            <w:r w:rsidRPr="002C3D1A">
              <w:t>Ensure lessons identified, research and good practice are contextuali</w:t>
            </w:r>
            <w:r w:rsidR="004F7F82">
              <w:t>s</w:t>
            </w:r>
            <w:r w:rsidRPr="002C3D1A">
              <w:t>ed for Queensland and integrated into emergency management standards and practice.</w:t>
            </w:r>
          </w:p>
          <w:p w:rsidR="00AE6BEA" w:rsidRPr="008547AA" w:rsidRDefault="008547AA" w:rsidP="001B1354">
            <w:pPr>
              <w:widowControl w:val="0"/>
              <w:numPr>
                <w:ilvl w:val="0"/>
                <w:numId w:val="9"/>
              </w:numPr>
              <w:tabs>
                <w:tab w:val="left" w:pos="1107"/>
              </w:tabs>
              <w:spacing w:after="120"/>
              <w:ind w:left="357" w:hanging="357"/>
              <w:cnfStyle w:val="000000100000" w:firstRow="0" w:lastRow="0" w:firstColumn="0" w:lastColumn="0" w:oddVBand="0" w:evenVBand="0" w:oddHBand="1" w:evenHBand="0" w:firstRowFirstColumn="0" w:firstRowLastColumn="0" w:lastRowFirstColumn="0" w:lastRowLastColumn="0"/>
            </w:pPr>
            <w:r w:rsidRPr="002C3D1A">
              <w:t>Develop and enhance links between emergency management and interdependent policy and programs.</w:t>
            </w:r>
          </w:p>
        </w:tc>
      </w:tr>
      <w:tr w:rsidR="00AE6BEA" w:rsidRPr="00AE6BEA" w:rsidTr="00AE6BEA">
        <w:tc>
          <w:tcPr>
            <w:cnfStyle w:val="001000000000" w:firstRow="0" w:lastRow="0" w:firstColumn="1" w:lastColumn="0" w:oddVBand="0" w:evenVBand="0" w:oddHBand="0" w:evenHBand="0" w:firstRowFirstColumn="0" w:firstRowLastColumn="0" w:lastRowFirstColumn="0" w:lastRowLastColumn="0"/>
            <w:tcW w:w="414" w:type="dxa"/>
            <w:tcBorders>
              <w:top w:val="single" w:sz="12" w:space="0" w:color="AB054C"/>
              <w:bottom w:val="single" w:sz="12" w:space="0" w:color="AB054C"/>
            </w:tcBorders>
          </w:tcPr>
          <w:p w:rsidR="00AE6BEA" w:rsidRPr="00AE6BEA" w:rsidRDefault="00AE6BEA" w:rsidP="008547AA">
            <w:pPr>
              <w:pStyle w:val="BodyText"/>
              <w:widowControl w:val="0"/>
              <w:contextualSpacing/>
              <w:rPr>
                <w:rFonts w:eastAsia="Cambria"/>
                <w:b w:val="0"/>
                <w:bCs w:val="0"/>
              </w:rPr>
            </w:pPr>
            <w:r w:rsidRPr="008547AA">
              <w:rPr>
                <w:b w:val="0"/>
                <w:bCs w:val="0"/>
              </w:rPr>
              <w:t>4</w:t>
            </w:r>
          </w:p>
        </w:tc>
        <w:tc>
          <w:tcPr>
            <w:tcW w:w="2988" w:type="dxa"/>
            <w:tcBorders>
              <w:top w:val="single" w:sz="12" w:space="0" w:color="AB054C"/>
              <w:bottom w:val="single" w:sz="12" w:space="0" w:color="AB054C"/>
            </w:tcBorders>
          </w:tcPr>
          <w:p w:rsidR="00AE6BEA" w:rsidRPr="00AE6BEA" w:rsidRDefault="00530C73" w:rsidP="00530C73">
            <w:pPr>
              <w:ind w:right="612"/>
              <w:cnfStyle w:val="000000000000" w:firstRow="0" w:lastRow="0" w:firstColumn="0" w:lastColumn="0" w:oddVBand="0" w:evenVBand="0" w:oddHBand="0" w:evenHBand="0" w:firstRowFirstColumn="0" w:firstRowLastColumn="0" w:lastRowFirstColumn="0" w:lastRowLastColumn="0"/>
              <w:rPr>
                <w:rFonts w:eastAsia="Cambria"/>
              </w:rPr>
            </w:pPr>
            <w:r w:rsidRPr="00A250E2">
              <w:rPr>
                <w:i/>
              </w:rPr>
              <w:t>To sustain a highly motivated, competent office that embraces change and is committed to delivering continuous improvement.</w:t>
            </w:r>
          </w:p>
        </w:tc>
        <w:tc>
          <w:tcPr>
            <w:tcW w:w="6740" w:type="dxa"/>
            <w:tcBorders>
              <w:top w:val="single" w:sz="12" w:space="0" w:color="AB054C"/>
              <w:bottom w:val="single" w:sz="12" w:space="0" w:color="AB054C"/>
            </w:tcBorders>
          </w:tcPr>
          <w:p w:rsidR="008547AA" w:rsidRPr="002C3D1A" w:rsidRDefault="008547AA" w:rsidP="006D5DCC">
            <w:pPr>
              <w:widowControl w:val="0"/>
              <w:numPr>
                <w:ilvl w:val="0"/>
                <w:numId w:val="9"/>
              </w:numPr>
              <w:tabs>
                <w:tab w:val="left" w:pos="1107"/>
              </w:tabs>
              <w:ind w:left="357" w:hanging="357"/>
              <w:cnfStyle w:val="000000000000" w:firstRow="0" w:lastRow="0" w:firstColumn="0" w:lastColumn="0" w:oddVBand="0" w:evenVBand="0" w:oddHBand="0" w:evenHBand="0" w:firstRowFirstColumn="0" w:firstRowLastColumn="0" w:lastRowFirstColumn="0" w:lastRowLastColumn="0"/>
            </w:pPr>
            <w:r w:rsidRPr="002C3D1A">
              <w:t>Develop capability through targeted, high quality development programs and initiatives.</w:t>
            </w:r>
          </w:p>
          <w:p w:rsidR="008547AA" w:rsidRPr="002C3D1A" w:rsidRDefault="008547AA" w:rsidP="006D5DCC">
            <w:pPr>
              <w:widowControl w:val="0"/>
              <w:numPr>
                <w:ilvl w:val="0"/>
                <w:numId w:val="9"/>
              </w:numPr>
              <w:tabs>
                <w:tab w:val="left" w:pos="1107"/>
              </w:tabs>
              <w:ind w:left="357" w:hanging="357"/>
              <w:cnfStyle w:val="000000000000" w:firstRow="0" w:lastRow="0" w:firstColumn="0" w:lastColumn="0" w:oddVBand="0" w:evenVBand="0" w:oddHBand="0" w:evenHBand="0" w:firstRowFirstColumn="0" w:firstRowLastColumn="0" w:lastRowFirstColumn="0" w:lastRowLastColumn="0"/>
            </w:pPr>
            <w:r w:rsidRPr="002C3D1A">
              <w:t>Promote a culture of high performance that models the Queensland Public Service values and promotes fairness, integrity and accountability.</w:t>
            </w:r>
          </w:p>
          <w:p w:rsidR="008547AA" w:rsidRPr="002C3D1A" w:rsidRDefault="008547AA" w:rsidP="006D5DCC">
            <w:pPr>
              <w:widowControl w:val="0"/>
              <w:numPr>
                <w:ilvl w:val="0"/>
                <w:numId w:val="9"/>
              </w:numPr>
              <w:tabs>
                <w:tab w:val="left" w:pos="1107"/>
              </w:tabs>
              <w:ind w:left="357" w:hanging="357"/>
              <w:cnfStyle w:val="000000000000" w:firstRow="0" w:lastRow="0" w:firstColumn="0" w:lastColumn="0" w:oddVBand="0" w:evenVBand="0" w:oddHBand="0" w:evenHBand="0" w:firstRowFirstColumn="0" w:firstRowLastColumn="0" w:lastRowFirstColumn="0" w:lastRowLastColumn="0"/>
            </w:pPr>
            <w:r w:rsidRPr="002C3D1A">
              <w:t>Develop processes and systems that support data management and information sharing to enable quality assurance and continuous improvement.</w:t>
            </w:r>
          </w:p>
          <w:p w:rsidR="00AE6BEA" w:rsidRPr="00AE6BEA" w:rsidRDefault="008547AA" w:rsidP="006D5DCC">
            <w:pPr>
              <w:widowControl w:val="0"/>
              <w:numPr>
                <w:ilvl w:val="0"/>
                <w:numId w:val="9"/>
              </w:numPr>
              <w:tabs>
                <w:tab w:val="left" w:pos="1107"/>
              </w:tabs>
              <w:spacing w:after="120"/>
              <w:ind w:left="357" w:hanging="357"/>
              <w:cnfStyle w:val="000000000000" w:firstRow="0" w:lastRow="0" w:firstColumn="0" w:lastColumn="0" w:oddVBand="0" w:evenVBand="0" w:oddHBand="0" w:evenHBand="0" w:firstRowFirstColumn="0" w:firstRowLastColumn="0" w:lastRowFirstColumn="0" w:lastRowLastColumn="0"/>
              <w:rPr>
                <w:rFonts w:eastAsia="Cambria"/>
              </w:rPr>
            </w:pPr>
            <w:r w:rsidRPr="002C3D1A">
              <w:t>Ensure the value of advice and outcomes is greater than the investment required for implementation.</w:t>
            </w:r>
          </w:p>
        </w:tc>
      </w:tr>
    </w:tbl>
    <w:p w:rsidR="008547AA" w:rsidRDefault="008547AA" w:rsidP="00B81DAB">
      <w:pPr>
        <w:pStyle w:val="Heading3"/>
      </w:pPr>
      <w:r>
        <w:lastRenderedPageBreak/>
        <w:t>Our values</w:t>
      </w:r>
    </w:p>
    <w:p w:rsidR="00AE6BEA" w:rsidRPr="00A250E2" w:rsidRDefault="00AE6BEA" w:rsidP="008547AA">
      <w:pPr>
        <w:pStyle w:val="BodyText"/>
      </w:pPr>
      <w:r w:rsidRPr="00A250E2">
        <w:t xml:space="preserve">The Office of the IGEM’s </w:t>
      </w:r>
      <w:r>
        <w:t xml:space="preserve">values </w:t>
      </w:r>
      <w:r w:rsidRPr="00A250E2">
        <w:t>align with the Queensland Public Service values.</w:t>
      </w:r>
    </w:p>
    <w:tbl>
      <w:tblPr>
        <w:tblStyle w:val="TableGrid10"/>
        <w:tblW w:w="0" w:type="auto"/>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8615"/>
      </w:tblGrid>
      <w:tr w:rsidR="00654152" w:rsidRPr="00654152" w:rsidTr="00CE2048">
        <w:tc>
          <w:tcPr>
            <w:tcW w:w="1619" w:type="dxa"/>
          </w:tcPr>
          <w:p w:rsidR="00654152" w:rsidRPr="00654152" w:rsidRDefault="00654152" w:rsidP="00654152">
            <w:pPr>
              <w:spacing w:before="194"/>
              <w:ind w:right="996"/>
              <w:jc w:val="center"/>
              <w:outlineLvl w:val="8"/>
              <w:rPr>
                <w:rFonts w:eastAsia="Arial"/>
                <w:b/>
                <w:bCs/>
                <w:highlight w:val="green"/>
              </w:rPr>
            </w:pPr>
            <w:r w:rsidRPr="00654152">
              <w:rPr>
                <w:rFonts w:eastAsia="Arial"/>
                <w:b/>
                <w:bCs/>
                <w:noProof/>
                <w:position w:val="-24"/>
                <w:sz w:val="20"/>
                <w:lang w:val="en-AU" w:eastAsia="en-AU"/>
              </w:rPr>
              <w:drawing>
                <wp:inline distT="0" distB="0" distL="0" distR="0" wp14:anchorId="025EC168" wp14:editId="082E680F">
                  <wp:extent cx="779525" cy="779526"/>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55" cstate="print"/>
                          <a:stretch>
                            <a:fillRect/>
                          </a:stretch>
                        </pic:blipFill>
                        <pic:spPr>
                          <a:xfrm>
                            <a:off x="0" y="0"/>
                            <a:ext cx="779525" cy="779526"/>
                          </a:xfrm>
                          <a:prstGeom prst="rect">
                            <a:avLst/>
                          </a:prstGeom>
                        </pic:spPr>
                      </pic:pic>
                    </a:graphicData>
                  </a:graphic>
                </wp:inline>
              </w:drawing>
            </w:r>
          </w:p>
        </w:tc>
        <w:tc>
          <w:tcPr>
            <w:tcW w:w="8615" w:type="dxa"/>
          </w:tcPr>
          <w:p w:rsidR="00654152" w:rsidRPr="00654152" w:rsidRDefault="00654152" w:rsidP="00654152">
            <w:pPr>
              <w:ind w:right="996"/>
              <w:outlineLvl w:val="8"/>
              <w:rPr>
                <w:rFonts w:eastAsia="Arial"/>
                <w:b/>
                <w:bCs/>
              </w:rPr>
            </w:pPr>
          </w:p>
          <w:p w:rsidR="00654152" w:rsidRPr="00654152" w:rsidRDefault="00654152" w:rsidP="00654152">
            <w:pPr>
              <w:ind w:right="996"/>
              <w:outlineLvl w:val="8"/>
              <w:rPr>
                <w:rFonts w:eastAsia="Arial"/>
                <w:b/>
                <w:bCs/>
              </w:rPr>
            </w:pPr>
            <w:r w:rsidRPr="00654152">
              <w:rPr>
                <w:rFonts w:eastAsia="Arial"/>
                <w:b/>
                <w:bCs/>
              </w:rPr>
              <w:t>Customers</w:t>
            </w:r>
            <w:r w:rsidRPr="00654152">
              <w:rPr>
                <w:rFonts w:eastAsia="Arial"/>
                <w:b/>
                <w:bCs/>
                <w:spacing w:val="-5"/>
              </w:rPr>
              <w:t xml:space="preserve"> </w:t>
            </w:r>
            <w:r w:rsidRPr="00654152">
              <w:rPr>
                <w:rFonts w:eastAsia="Arial"/>
                <w:b/>
                <w:bCs/>
              </w:rPr>
              <w:t>first</w:t>
            </w:r>
          </w:p>
          <w:p w:rsidR="00654152" w:rsidRPr="00654152" w:rsidRDefault="00654152" w:rsidP="006D5DCC">
            <w:pPr>
              <w:numPr>
                <w:ilvl w:val="0"/>
                <w:numId w:val="11"/>
              </w:numPr>
              <w:tabs>
                <w:tab w:val="left" w:pos="590"/>
              </w:tabs>
              <w:ind w:right="513"/>
              <w:rPr>
                <w:rFonts w:eastAsia="Arial"/>
              </w:rPr>
            </w:pPr>
            <w:r w:rsidRPr="00654152">
              <w:rPr>
                <w:rFonts w:eastAsia="Calibri" w:hAnsi="Calibri"/>
              </w:rPr>
              <w:t>Know</w:t>
            </w:r>
            <w:r w:rsidRPr="00654152">
              <w:rPr>
                <w:rFonts w:eastAsia="Calibri" w:hAnsi="Calibri"/>
                <w:spacing w:val="-6"/>
              </w:rPr>
              <w:t xml:space="preserve"> </w:t>
            </w:r>
            <w:r w:rsidRPr="00654152">
              <w:rPr>
                <w:rFonts w:eastAsia="Calibri" w:hAnsi="Calibri"/>
              </w:rPr>
              <w:t>your customers</w:t>
            </w:r>
          </w:p>
          <w:p w:rsidR="00654152" w:rsidRPr="00654152" w:rsidRDefault="00654152" w:rsidP="006D5DCC">
            <w:pPr>
              <w:numPr>
                <w:ilvl w:val="0"/>
                <w:numId w:val="11"/>
              </w:numPr>
              <w:tabs>
                <w:tab w:val="left" w:pos="590"/>
              </w:tabs>
              <w:ind w:right="371"/>
              <w:rPr>
                <w:rFonts w:eastAsia="Arial"/>
              </w:rPr>
            </w:pPr>
            <w:r w:rsidRPr="00654152">
              <w:rPr>
                <w:rFonts w:eastAsia="Calibri" w:hAnsi="Calibri"/>
              </w:rPr>
              <w:t>Deliver</w:t>
            </w:r>
            <w:r w:rsidRPr="00654152">
              <w:rPr>
                <w:rFonts w:eastAsia="Calibri" w:hAnsi="Calibri"/>
                <w:spacing w:val="-5"/>
              </w:rPr>
              <w:t xml:space="preserve"> </w:t>
            </w:r>
            <w:r w:rsidRPr="00654152">
              <w:rPr>
                <w:rFonts w:eastAsia="Calibri" w:hAnsi="Calibri"/>
              </w:rPr>
              <w:t>what matters</w:t>
            </w:r>
          </w:p>
          <w:p w:rsidR="00654152" w:rsidRPr="00654152" w:rsidRDefault="00654152" w:rsidP="006D5DCC">
            <w:pPr>
              <w:numPr>
                <w:ilvl w:val="0"/>
                <w:numId w:val="11"/>
              </w:numPr>
              <w:tabs>
                <w:tab w:val="left" w:pos="590"/>
              </w:tabs>
              <w:ind w:right="371"/>
              <w:rPr>
                <w:rFonts w:ascii="Calibri" w:eastAsia="Calibri" w:hAnsi="Calibri"/>
              </w:rPr>
            </w:pPr>
            <w:r w:rsidRPr="00654152">
              <w:rPr>
                <w:rFonts w:eastAsia="Calibri" w:hAnsi="Calibri"/>
              </w:rPr>
              <w:t>Make decisions with empathy</w:t>
            </w:r>
          </w:p>
        </w:tc>
      </w:tr>
      <w:tr w:rsidR="00654152" w:rsidRPr="00654152" w:rsidTr="00CE2048">
        <w:tc>
          <w:tcPr>
            <w:tcW w:w="1619" w:type="dxa"/>
          </w:tcPr>
          <w:p w:rsidR="00654152" w:rsidRPr="00654152" w:rsidRDefault="00654152" w:rsidP="00654152">
            <w:pPr>
              <w:spacing w:before="194"/>
              <w:ind w:right="996"/>
              <w:outlineLvl w:val="8"/>
              <w:rPr>
                <w:rFonts w:eastAsia="Arial"/>
                <w:b/>
                <w:bCs/>
                <w:highlight w:val="green"/>
              </w:rPr>
            </w:pPr>
            <w:r w:rsidRPr="00654152">
              <w:rPr>
                <w:rFonts w:eastAsia="Arial"/>
                <w:b/>
                <w:bCs/>
                <w:noProof/>
                <w:position w:val="-23"/>
                <w:sz w:val="20"/>
                <w:lang w:val="en-AU" w:eastAsia="en-AU"/>
              </w:rPr>
              <w:drawing>
                <wp:inline distT="0" distB="0" distL="0" distR="0" wp14:anchorId="775AC08B" wp14:editId="6F999510">
                  <wp:extent cx="765047" cy="766952"/>
                  <wp:effectExtent l="0" t="0" r="0" b="0"/>
                  <wp:docPr id="2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56" cstate="print"/>
                          <a:stretch>
                            <a:fillRect/>
                          </a:stretch>
                        </pic:blipFill>
                        <pic:spPr>
                          <a:xfrm>
                            <a:off x="0" y="0"/>
                            <a:ext cx="765047" cy="766952"/>
                          </a:xfrm>
                          <a:prstGeom prst="rect">
                            <a:avLst/>
                          </a:prstGeom>
                        </pic:spPr>
                      </pic:pic>
                    </a:graphicData>
                  </a:graphic>
                </wp:inline>
              </w:drawing>
            </w:r>
          </w:p>
        </w:tc>
        <w:tc>
          <w:tcPr>
            <w:tcW w:w="8615" w:type="dxa"/>
          </w:tcPr>
          <w:p w:rsidR="00654152" w:rsidRPr="00654152" w:rsidRDefault="00654152" w:rsidP="00654152">
            <w:pPr>
              <w:ind w:right="996"/>
              <w:outlineLvl w:val="8"/>
              <w:rPr>
                <w:rFonts w:eastAsia="Arial"/>
                <w:b/>
                <w:bCs/>
              </w:rPr>
            </w:pPr>
          </w:p>
          <w:p w:rsidR="00654152" w:rsidRPr="00654152" w:rsidRDefault="00654152" w:rsidP="00654152">
            <w:pPr>
              <w:ind w:right="996"/>
              <w:outlineLvl w:val="8"/>
              <w:rPr>
                <w:rFonts w:eastAsia="Arial"/>
                <w:b/>
                <w:bCs/>
              </w:rPr>
            </w:pPr>
            <w:r w:rsidRPr="00654152">
              <w:rPr>
                <w:rFonts w:eastAsia="Arial"/>
                <w:b/>
                <w:bCs/>
              </w:rPr>
              <w:t>Ideas into</w:t>
            </w:r>
            <w:r w:rsidRPr="00654152">
              <w:rPr>
                <w:rFonts w:eastAsia="Arial"/>
                <w:b/>
                <w:bCs/>
                <w:spacing w:val="-4"/>
              </w:rPr>
              <w:t xml:space="preserve"> </w:t>
            </w:r>
            <w:r w:rsidRPr="00654152">
              <w:rPr>
                <w:rFonts w:eastAsia="Arial"/>
                <w:b/>
                <w:bCs/>
              </w:rPr>
              <w:t>action</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Challenge the norm and suggest solutions</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Encourage and embrace new ideas</w:t>
            </w:r>
          </w:p>
          <w:p w:rsidR="00654152" w:rsidRPr="00654152" w:rsidRDefault="00654152" w:rsidP="006D5DCC">
            <w:pPr>
              <w:numPr>
                <w:ilvl w:val="0"/>
                <w:numId w:val="11"/>
              </w:numPr>
              <w:tabs>
                <w:tab w:val="left" w:pos="590"/>
              </w:tabs>
              <w:ind w:right="513"/>
              <w:rPr>
                <w:rFonts w:ascii="Calibri" w:eastAsia="Calibri" w:hAnsi="Calibri"/>
              </w:rPr>
            </w:pPr>
            <w:r w:rsidRPr="00654152">
              <w:rPr>
                <w:rFonts w:eastAsia="Calibri" w:hAnsi="Calibri"/>
              </w:rPr>
              <w:t>Work across boundaries</w:t>
            </w:r>
          </w:p>
        </w:tc>
      </w:tr>
      <w:tr w:rsidR="00654152" w:rsidRPr="00654152" w:rsidTr="00CE2048">
        <w:tc>
          <w:tcPr>
            <w:tcW w:w="1619" w:type="dxa"/>
          </w:tcPr>
          <w:p w:rsidR="00654152" w:rsidRPr="00654152" w:rsidRDefault="00654152" w:rsidP="00654152">
            <w:pPr>
              <w:spacing w:before="194"/>
              <w:ind w:right="996"/>
              <w:outlineLvl w:val="8"/>
              <w:rPr>
                <w:rFonts w:eastAsia="Arial"/>
                <w:b/>
                <w:bCs/>
                <w:highlight w:val="green"/>
              </w:rPr>
            </w:pPr>
            <w:r w:rsidRPr="00654152">
              <w:rPr>
                <w:rFonts w:eastAsia="Arial"/>
                <w:b/>
                <w:bCs/>
                <w:noProof/>
                <w:position w:val="-24"/>
                <w:sz w:val="20"/>
                <w:lang w:val="en-AU" w:eastAsia="en-AU"/>
              </w:rPr>
              <w:drawing>
                <wp:inline distT="0" distB="0" distL="0" distR="0" wp14:anchorId="71F86C30" wp14:editId="625B647F">
                  <wp:extent cx="779525" cy="779526"/>
                  <wp:effectExtent l="0" t="0" r="0" b="0"/>
                  <wp:docPr id="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57" cstate="print"/>
                          <a:stretch>
                            <a:fillRect/>
                          </a:stretch>
                        </pic:blipFill>
                        <pic:spPr>
                          <a:xfrm>
                            <a:off x="0" y="0"/>
                            <a:ext cx="779525" cy="779526"/>
                          </a:xfrm>
                          <a:prstGeom prst="rect">
                            <a:avLst/>
                          </a:prstGeom>
                        </pic:spPr>
                      </pic:pic>
                    </a:graphicData>
                  </a:graphic>
                </wp:inline>
              </w:drawing>
            </w:r>
          </w:p>
        </w:tc>
        <w:tc>
          <w:tcPr>
            <w:tcW w:w="8615" w:type="dxa"/>
          </w:tcPr>
          <w:p w:rsidR="00654152" w:rsidRPr="00654152" w:rsidRDefault="00654152" w:rsidP="00654152">
            <w:pPr>
              <w:tabs>
                <w:tab w:val="left" w:pos="492"/>
              </w:tabs>
              <w:ind w:right="554"/>
              <w:rPr>
                <w:rFonts w:eastAsia="Calibri" w:hAnsi="Calibri"/>
                <w:b/>
              </w:rPr>
            </w:pPr>
          </w:p>
          <w:p w:rsidR="00654152" w:rsidRPr="00654152" w:rsidRDefault="00654152" w:rsidP="00654152">
            <w:pPr>
              <w:tabs>
                <w:tab w:val="left" w:pos="492"/>
              </w:tabs>
              <w:ind w:right="554"/>
              <w:rPr>
                <w:rFonts w:eastAsia="Calibri" w:hAnsi="Calibri"/>
                <w:sz w:val="18"/>
              </w:rPr>
            </w:pPr>
            <w:r w:rsidRPr="00654152">
              <w:rPr>
                <w:rFonts w:eastAsia="Calibri" w:hAnsi="Calibri"/>
                <w:b/>
              </w:rPr>
              <w:t>Unleash</w:t>
            </w:r>
            <w:r w:rsidRPr="00654152">
              <w:rPr>
                <w:rFonts w:eastAsia="Calibri" w:hAnsi="Calibri"/>
                <w:b/>
                <w:spacing w:val="-6"/>
              </w:rPr>
              <w:t xml:space="preserve"> </w:t>
            </w:r>
            <w:r w:rsidRPr="00654152">
              <w:rPr>
                <w:rFonts w:eastAsia="Calibri" w:hAnsi="Calibri"/>
                <w:b/>
              </w:rPr>
              <w:t>potential</w:t>
            </w:r>
            <w:r w:rsidRPr="00654152">
              <w:rPr>
                <w:rFonts w:eastAsia="Calibri" w:hAnsi="Calibri"/>
                <w:sz w:val="18"/>
              </w:rPr>
              <w:t xml:space="preserve"> </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Expect greatness</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Lead and set clear expectations</w:t>
            </w:r>
          </w:p>
          <w:p w:rsidR="00654152" w:rsidRPr="00654152" w:rsidRDefault="00654152" w:rsidP="006D5DCC">
            <w:pPr>
              <w:numPr>
                <w:ilvl w:val="0"/>
                <w:numId w:val="11"/>
              </w:numPr>
              <w:tabs>
                <w:tab w:val="left" w:pos="590"/>
              </w:tabs>
              <w:ind w:right="513"/>
              <w:rPr>
                <w:rFonts w:ascii="Calibri" w:eastAsia="Calibri" w:hAnsi="Calibri"/>
                <w:b/>
              </w:rPr>
            </w:pPr>
            <w:r w:rsidRPr="00654152">
              <w:rPr>
                <w:rFonts w:eastAsia="Calibri" w:hAnsi="Calibri"/>
              </w:rPr>
              <w:t>Seek, provide and act on feedback</w:t>
            </w:r>
          </w:p>
        </w:tc>
      </w:tr>
      <w:tr w:rsidR="00654152" w:rsidRPr="00654152" w:rsidTr="00CE2048">
        <w:tc>
          <w:tcPr>
            <w:tcW w:w="1619" w:type="dxa"/>
          </w:tcPr>
          <w:p w:rsidR="00654152" w:rsidRPr="00654152" w:rsidRDefault="00654152" w:rsidP="00654152">
            <w:pPr>
              <w:spacing w:before="194"/>
              <w:ind w:right="996"/>
              <w:outlineLvl w:val="8"/>
              <w:rPr>
                <w:rFonts w:eastAsia="Arial"/>
                <w:b/>
                <w:bCs/>
                <w:highlight w:val="green"/>
              </w:rPr>
            </w:pPr>
            <w:r w:rsidRPr="00654152">
              <w:rPr>
                <w:rFonts w:eastAsia="Arial"/>
                <w:b/>
                <w:bCs/>
                <w:noProof/>
                <w:position w:val="-24"/>
                <w:sz w:val="20"/>
                <w:lang w:val="en-AU" w:eastAsia="en-AU"/>
              </w:rPr>
              <w:drawing>
                <wp:inline distT="0" distB="0" distL="0" distR="0" wp14:anchorId="672B4E1A" wp14:editId="03601FDA">
                  <wp:extent cx="779525" cy="779526"/>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58" cstate="print"/>
                          <a:stretch>
                            <a:fillRect/>
                          </a:stretch>
                        </pic:blipFill>
                        <pic:spPr>
                          <a:xfrm>
                            <a:off x="0" y="0"/>
                            <a:ext cx="779525" cy="779526"/>
                          </a:xfrm>
                          <a:prstGeom prst="rect">
                            <a:avLst/>
                          </a:prstGeom>
                        </pic:spPr>
                      </pic:pic>
                    </a:graphicData>
                  </a:graphic>
                </wp:inline>
              </w:drawing>
            </w:r>
          </w:p>
        </w:tc>
        <w:tc>
          <w:tcPr>
            <w:tcW w:w="8615" w:type="dxa"/>
          </w:tcPr>
          <w:p w:rsidR="00654152" w:rsidRPr="00654152" w:rsidRDefault="00654152" w:rsidP="00654152">
            <w:pPr>
              <w:ind w:right="996"/>
              <w:outlineLvl w:val="8"/>
              <w:rPr>
                <w:rFonts w:eastAsia="Arial"/>
                <w:b/>
                <w:bCs/>
              </w:rPr>
            </w:pPr>
          </w:p>
          <w:p w:rsidR="00654152" w:rsidRPr="00654152" w:rsidRDefault="00654152" w:rsidP="00654152">
            <w:pPr>
              <w:ind w:right="996"/>
              <w:outlineLvl w:val="8"/>
              <w:rPr>
                <w:rFonts w:eastAsia="Arial"/>
                <w:b/>
                <w:bCs/>
              </w:rPr>
            </w:pPr>
            <w:r w:rsidRPr="00654152">
              <w:rPr>
                <w:rFonts w:eastAsia="Arial"/>
                <w:b/>
                <w:bCs/>
              </w:rPr>
              <w:t>Be</w:t>
            </w:r>
            <w:r w:rsidRPr="00654152">
              <w:rPr>
                <w:rFonts w:eastAsia="Arial"/>
                <w:b/>
                <w:bCs/>
                <w:spacing w:val="-3"/>
              </w:rPr>
              <w:t xml:space="preserve"> </w:t>
            </w:r>
            <w:r w:rsidRPr="00654152">
              <w:rPr>
                <w:rFonts w:eastAsia="Arial"/>
                <w:b/>
                <w:bCs/>
              </w:rPr>
              <w:t>courageous</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Own your actions, successes and mistakes</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Take calculated risks</w:t>
            </w:r>
          </w:p>
          <w:p w:rsidR="00654152" w:rsidRPr="00654152" w:rsidRDefault="00654152" w:rsidP="006D5DCC">
            <w:pPr>
              <w:numPr>
                <w:ilvl w:val="0"/>
                <w:numId w:val="11"/>
              </w:numPr>
              <w:tabs>
                <w:tab w:val="left" w:pos="590"/>
              </w:tabs>
              <w:ind w:right="513"/>
              <w:rPr>
                <w:rFonts w:ascii="Calibri" w:eastAsia="Calibri" w:hAnsi="Calibri"/>
              </w:rPr>
            </w:pPr>
            <w:r w:rsidRPr="00654152">
              <w:rPr>
                <w:rFonts w:eastAsia="Calibri" w:hAnsi="Calibri"/>
              </w:rPr>
              <w:t>Act with transparency</w:t>
            </w:r>
          </w:p>
        </w:tc>
      </w:tr>
      <w:tr w:rsidR="00654152" w:rsidRPr="00654152" w:rsidTr="00CE2048">
        <w:tc>
          <w:tcPr>
            <w:tcW w:w="1619" w:type="dxa"/>
          </w:tcPr>
          <w:p w:rsidR="00654152" w:rsidRPr="00654152" w:rsidRDefault="00654152" w:rsidP="00654152">
            <w:pPr>
              <w:spacing w:before="194"/>
              <w:ind w:right="996"/>
              <w:outlineLvl w:val="8"/>
              <w:rPr>
                <w:rFonts w:eastAsia="Arial"/>
                <w:b/>
                <w:bCs/>
                <w:highlight w:val="green"/>
              </w:rPr>
            </w:pPr>
            <w:r w:rsidRPr="00654152">
              <w:rPr>
                <w:rFonts w:eastAsia="Arial"/>
                <w:b/>
                <w:bCs/>
                <w:noProof/>
                <w:position w:val="-24"/>
                <w:sz w:val="20"/>
                <w:lang w:val="en-AU" w:eastAsia="en-AU"/>
              </w:rPr>
              <w:drawing>
                <wp:inline distT="0" distB="0" distL="0" distR="0" wp14:anchorId="19B2B0F6" wp14:editId="773B7AC5">
                  <wp:extent cx="778897" cy="779526"/>
                  <wp:effectExtent l="0" t="0" r="0" b="0"/>
                  <wp:docPr id="2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59" cstate="print"/>
                          <a:stretch>
                            <a:fillRect/>
                          </a:stretch>
                        </pic:blipFill>
                        <pic:spPr>
                          <a:xfrm>
                            <a:off x="0" y="0"/>
                            <a:ext cx="778897" cy="779526"/>
                          </a:xfrm>
                          <a:prstGeom prst="rect">
                            <a:avLst/>
                          </a:prstGeom>
                        </pic:spPr>
                      </pic:pic>
                    </a:graphicData>
                  </a:graphic>
                </wp:inline>
              </w:drawing>
            </w:r>
          </w:p>
        </w:tc>
        <w:tc>
          <w:tcPr>
            <w:tcW w:w="8615" w:type="dxa"/>
          </w:tcPr>
          <w:p w:rsidR="00654152" w:rsidRPr="00654152" w:rsidRDefault="00654152" w:rsidP="00654152">
            <w:pPr>
              <w:ind w:right="996"/>
              <w:outlineLvl w:val="8"/>
              <w:rPr>
                <w:rFonts w:eastAsia="Arial"/>
                <w:b/>
                <w:bCs/>
              </w:rPr>
            </w:pPr>
          </w:p>
          <w:p w:rsidR="00654152" w:rsidRPr="00654152" w:rsidRDefault="00654152" w:rsidP="00654152">
            <w:pPr>
              <w:ind w:right="996"/>
              <w:outlineLvl w:val="8"/>
              <w:rPr>
                <w:rFonts w:eastAsia="Arial"/>
                <w:b/>
                <w:bCs/>
              </w:rPr>
            </w:pPr>
            <w:r w:rsidRPr="00654152">
              <w:rPr>
                <w:rFonts w:eastAsia="Arial"/>
                <w:b/>
                <w:bCs/>
              </w:rPr>
              <w:t>Empower</w:t>
            </w:r>
            <w:r w:rsidRPr="00654152">
              <w:rPr>
                <w:rFonts w:eastAsia="Arial"/>
                <w:b/>
                <w:bCs/>
                <w:spacing w:val="-5"/>
              </w:rPr>
              <w:t xml:space="preserve"> </w:t>
            </w:r>
            <w:r w:rsidRPr="00654152">
              <w:rPr>
                <w:rFonts w:eastAsia="Arial"/>
                <w:b/>
                <w:bCs/>
              </w:rPr>
              <w:t>people</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Lead, empower and trust</w:t>
            </w:r>
          </w:p>
          <w:p w:rsidR="00654152" w:rsidRPr="00654152" w:rsidRDefault="00654152" w:rsidP="006D5DCC">
            <w:pPr>
              <w:numPr>
                <w:ilvl w:val="0"/>
                <w:numId w:val="11"/>
              </w:numPr>
              <w:tabs>
                <w:tab w:val="left" w:pos="590"/>
              </w:tabs>
              <w:ind w:right="513"/>
              <w:rPr>
                <w:rFonts w:eastAsia="Calibri" w:hAnsi="Calibri"/>
              </w:rPr>
            </w:pPr>
            <w:r w:rsidRPr="00654152">
              <w:rPr>
                <w:rFonts w:eastAsia="Calibri" w:hAnsi="Calibri"/>
              </w:rPr>
              <w:t>Play to everyone</w:t>
            </w:r>
            <w:r w:rsidRPr="00654152">
              <w:rPr>
                <w:rFonts w:eastAsia="Calibri" w:hAnsi="Calibri"/>
              </w:rPr>
              <w:t>’</w:t>
            </w:r>
            <w:r w:rsidRPr="00654152">
              <w:rPr>
                <w:rFonts w:eastAsia="Calibri" w:hAnsi="Calibri"/>
              </w:rPr>
              <w:t>s strengths</w:t>
            </w:r>
          </w:p>
          <w:p w:rsidR="00654152" w:rsidRPr="00654152" w:rsidRDefault="00654152" w:rsidP="006D5DCC">
            <w:pPr>
              <w:numPr>
                <w:ilvl w:val="0"/>
                <w:numId w:val="11"/>
              </w:numPr>
              <w:tabs>
                <w:tab w:val="left" w:pos="590"/>
              </w:tabs>
              <w:ind w:right="513"/>
              <w:rPr>
                <w:rFonts w:ascii="Calibri" w:eastAsia="Calibri" w:hAnsi="Calibri"/>
              </w:rPr>
            </w:pPr>
            <w:r w:rsidRPr="00654152">
              <w:rPr>
                <w:rFonts w:eastAsia="Calibri" w:hAnsi="Calibri"/>
              </w:rPr>
              <w:t>Develop yourself and those around you</w:t>
            </w:r>
          </w:p>
        </w:tc>
      </w:tr>
    </w:tbl>
    <w:p w:rsidR="00AE6BEA" w:rsidRPr="00654152" w:rsidRDefault="00654152" w:rsidP="00B81DAB">
      <w:pPr>
        <w:pStyle w:val="Heading3"/>
      </w:pPr>
      <w:r w:rsidRPr="00991936">
        <w:t>Our strategic risks and challenges</w:t>
      </w:r>
      <w:r w:rsidR="00AE6BEA" w:rsidRPr="00A250E2">
        <w:t xml:space="preserve">: </w:t>
      </w:r>
    </w:p>
    <w:p w:rsidR="00654152" w:rsidRPr="00654152" w:rsidRDefault="00654152" w:rsidP="002775EB">
      <w:pPr>
        <w:pStyle w:val="BodyText"/>
        <w:spacing w:after="60"/>
      </w:pPr>
      <w:r w:rsidRPr="00654152">
        <w:t>The Office of the IGEM identified the following strategic risks and challenges for 2015</w:t>
      </w:r>
      <w:r w:rsidRPr="00654152">
        <w:noBreakHyphen/>
        <w:t>16 and into the futur</w:t>
      </w:r>
      <w:r w:rsidRPr="00A250E2">
        <w:t xml:space="preserve">e: </w:t>
      </w:r>
    </w:p>
    <w:p w:rsidR="00AE6BEA" w:rsidRPr="00924ECD" w:rsidRDefault="00AE6BEA" w:rsidP="00207679">
      <w:pPr>
        <w:pStyle w:val="BodyText"/>
        <w:widowControl w:val="0"/>
        <w:numPr>
          <w:ilvl w:val="0"/>
          <w:numId w:val="19"/>
        </w:numPr>
        <w:spacing w:before="60" w:after="60" w:line="251" w:lineRule="exact"/>
        <w:ind w:left="473" w:hanging="360"/>
      </w:pPr>
      <w:r w:rsidRPr="002C3D1A">
        <w:t>reducing barriers to responsive and integrated disaster management for local</w:t>
      </w:r>
      <w:r w:rsidRPr="00924ECD">
        <w:t xml:space="preserve"> g</w:t>
      </w:r>
      <w:r w:rsidRPr="00A250E2">
        <w:t>overnments, state agencies and other</w:t>
      </w:r>
      <w:r w:rsidRPr="00924ECD">
        <w:t xml:space="preserve"> </w:t>
      </w:r>
      <w:r w:rsidRPr="00A250E2">
        <w:t>partners</w:t>
      </w:r>
    </w:p>
    <w:p w:rsidR="00AE6BEA" w:rsidRPr="00343BB9" w:rsidRDefault="00AE6BEA" w:rsidP="00207679">
      <w:pPr>
        <w:pStyle w:val="BodyText"/>
        <w:widowControl w:val="0"/>
        <w:numPr>
          <w:ilvl w:val="0"/>
          <w:numId w:val="19"/>
        </w:numPr>
        <w:spacing w:before="60" w:after="60" w:line="251" w:lineRule="exact"/>
        <w:ind w:left="473" w:hanging="360"/>
      </w:pPr>
      <w:r w:rsidRPr="00343BB9">
        <w:t>ensuring performance is measured against outcomes</w:t>
      </w:r>
    </w:p>
    <w:p w:rsidR="00AE6BEA" w:rsidRPr="00343BB9" w:rsidRDefault="00AE6BEA" w:rsidP="00207679">
      <w:pPr>
        <w:pStyle w:val="BodyText"/>
        <w:widowControl w:val="0"/>
        <w:numPr>
          <w:ilvl w:val="0"/>
          <w:numId w:val="19"/>
        </w:numPr>
        <w:spacing w:before="60" w:after="60" w:line="251" w:lineRule="exact"/>
        <w:ind w:left="473" w:hanging="360"/>
      </w:pPr>
      <w:r w:rsidRPr="00343BB9">
        <w:t>gaining acceptance and support for shared responsibilities balanced with clear accountabilities</w:t>
      </w:r>
    </w:p>
    <w:p w:rsidR="00AE6BEA" w:rsidRPr="00343BB9" w:rsidRDefault="00AE6BEA" w:rsidP="00207679">
      <w:pPr>
        <w:pStyle w:val="BodyText"/>
        <w:widowControl w:val="0"/>
        <w:numPr>
          <w:ilvl w:val="0"/>
          <w:numId w:val="19"/>
        </w:numPr>
        <w:spacing w:before="60" w:after="60" w:line="251" w:lineRule="exact"/>
        <w:ind w:left="473" w:hanging="360"/>
      </w:pPr>
      <w:r w:rsidRPr="00343BB9">
        <w:t>ensuring clear expectations of leadership across the emergency management sector</w:t>
      </w:r>
    </w:p>
    <w:p w:rsidR="00AE6BEA" w:rsidRPr="00343BB9" w:rsidRDefault="00AE6BEA" w:rsidP="00207679">
      <w:pPr>
        <w:pStyle w:val="BodyText"/>
        <w:widowControl w:val="0"/>
        <w:numPr>
          <w:ilvl w:val="0"/>
          <w:numId w:val="19"/>
        </w:numPr>
        <w:spacing w:before="60" w:after="60" w:line="251" w:lineRule="exact"/>
        <w:ind w:left="473" w:hanging="360"/>
      </w:pPr>
      <w:r w:rsidRPr="00343BB9">
        <w:t>providing valued services to key stakeholders</w:t>
      </w:r>
    </w:p>
    <w:p w:rsidR="00AE6BEA" w:rsidRPr="00343BB9" w:rsidRDefault="00AE6BEA" w:rsidP="00207679">
      <w:pPr>
        <w:pStyle w:val="BodyText"/>
        <w:widowControl w:val="0"/>
        <w:numPr>
          <w:ilvl w:val="0"/>
          <w:numId w:val="19"/>
        </w:numPr>
        <w:spacing w:before="60" w:after="60" w:line="251" w:lineRule="exact"/>
        <w:ind w:left="473" w:hanging="360"/>
      </w:pPr>
      <w:r w:rsidRPr="00343BB9">
        <w:t>ensuring all stakeholders understand their risks and are taking action to mitigate these risks</w:t>
      </w:r>
    </w:p>
    <w:p w:rsidR="00AE6BEA" w:rsidRPr="00343BB9" w:rsidRDefault="00AE6BEA" w:rsidP="00207679">
      <w:pPr>
        <w:pStyle w:val="BodyText"/>
        <w:widowControl w:val="0"/>
        <w:numPr>
          <w:ilvl w:val="0"/>
          <w:numId w:val="19"/>
        </w:numPr>
        <w:spacing w:before="60" w:after="60" w:line="251" w:lineRule="exact"/>
        <w:ind w:left="473" w:hanging="360"/>
      </w:pPr>
      <w:r w:rsidRPr="00343BB9">
        <w:t>ensuring the broader disaster management framework remains contemporary.</w:t>
      </w:r>
    </w:p>
    <w:p w:rsidR="00650004" w:rsidRDefault="00650004">
      <w:r>
        <w:br w:type="page"/>
      </w:r>
    </w:p>
    <w:p w:rsidR="00AE6BEA" w:rsidRPr="00654152" w:rsidRDefault="00AE6BEA" w:rsidP="002775EB">
      <w:pPr>
        <w:pStyle w:val="BodyText"/>
        <w:spacing w:after="60"/>
      </w:pPr>
      <w:r>
        <w:lastRenderedPageBreak/>
        <w:t>I</w:t>
      </w:r>
      <w:r w:rsidRPr="001D3539">
        <w:t>n 2016-17, the Office of the IGEM will progress a range of strategies including:</w:t>
      </w:r>
    </w:p>
    <w:p w:rsidR="00AE6BEA" w:rsidRPr="001D3539" w:rsidRDefault="00AE6BEA" w:rsidP="00207679">
      <w:pPr>
        <w:pStyle w:val="BodyText"/>
        <w:widowControl w:val="0"/>
        <w:numPr>
          <w:ilvl w:val="0"/>
          <w:numId w:val="19"/>
        </w:numPr>
        <w:spacing w:before="60" w:after="60" w:line="251" w:lineRule="exact"/>
        <w:ind w:left="473" w:hanging="360"/>
      </w:pPr>
      <w:r w:rsidRPr="001D3539">
        <w:t>embedding and validating the Emergency Management Assurance Framework, in collaboration with stakeholders</w:t>
      </w:r>
    </w:p>
    <w:p w:rsidR="00AE6BEA" w:rsidRPr="001D3539" w:rsidRDefault="00AE6BEA" w:rsidP="00207679">
      <w:pPr>
        <w:pStyle w:val="BodyText"/>
        <w:widowControl w:val="0"/>
        <w:numPr>
          <w:ilvl w:val="0"/>
          <w:numId w:val="19"/>
        </w:numPr>
        <w:spacing w:before="60" w:after="60" w:line="251" w:lineRule="exact"/>
        <w:ind w:left="473" w:hanging="360"/>
      </w:pPr>
      <w:r w:rsidRPr="001D3539">
        <w:t>providing diligent oversight to ensure that accountabilities and responsibilities are known, understood and met across emergency management</w:t>
      </w:r>
    </w:p>
    <w:p w:rsidR="00AE6BEA" w:rsidRPr="001D3539" w:rsidRDefault="00AE6BEA" w:rsidP="00207679">
      <w:pPr>
        <w:pStyle w:val="BodyText"/>
        <w:widowControl w:val="0"/>
        <w:numPr>
          <w:ilvl w:val="0"/>
          <w:numId w:val="19"/>
        </w:numPr>
        <w:spacing w:before="60" w:after="60" w:line="251" w:lineRule="exact"/>
        <w:ind w:left="473" w:hanging="360"/>
      </w:pPr>
      <w:r w:rsidRPr="001D3539">
        <w:t>designing and applying assurance activities, tools and processes that are valued by our stakeholders and enable performance improvements, evaluation and reporting</w:t>
      </w:r>
    </w:p>
    <w:p w:rsidR="00AE6BEA" w:rsidRPr="001D3539" w:rsidRDefault="00AE6BEA" w:rsidP="00207679">
      <w:pPr>
        <w:pStyle w:val="BodyText"/>
        <w:widowControl w:val="0"/>
        <w:numPr>
          <w:ilvl w:val="0"/>
          <w:numId w:val="19"/>
        </w:numPr>
        <w:spacing w:before="60" w:after="60" w:line="251" w:lineRule="exact"/>
        <w:ind w:left="473" w:hanging="360"/>
      </w:pPr>
      <w:r w:rsidRPr="001D3539">
        <w:t>undertaking targeted reviews and system analysis that identify risks, gaps and prioritise improvements on the basis of community outcomes</w:t>
      </w:r>
    </w:p>
    <w:p w:rsidR="00AE6BEA" w:rsidRPr="001D3539" w:rsidRDefault="00AE6BEA" w:rsidP="00207679">
      <w:pPr>
        <w:pStyle w:val="BodyText"/>
        <w:widowControl w:val="0"/>
        <w:numPr>
          <w:ilvl w:val="0"/>
          <w:numId w:val="19"/>
        </w:numPr>
        <w:spacing w:before="60" w:after="60" w:line="251" w:lineRule="exact"/>
        <w:ind w:left="473" w:hanging="360"/>
      </w:pPr>
      <w:r w:rsidRPr="001D3539">
        <w:t>encouraging and harnessing trusted partnerships, enabled by transparent systems and processes, that promote innovation, interoperability, consultation and knowledge transfer across the emergency management sector</w:t>
      </w:r>
    </w:p>
    <w:p w:rsidR="00AE6BEA" w:rsidRPr="001D3539" w:rsidRDefault="00AE6BEA" w:rsidP="00207679">
      <w:pPr>
        <w:pStyle w:val="BodyText"/>
        <w:widowControl w:val="0"/>
        <w:numPr>
          <w:ilvl w:val="0"/>
          <w:numId w:val="19"/>
        </w:numPr>
        <w:spacing w:before="60" w:after="60" w:line="251" w:lineRule="exact"/>
        <w:ind w:left="473" w:hanging="360"/>
      </w:pPr>
      <w:r w:rsidRPr="001D3539">
        <w:t>connecting and engaging with stakeholders through key platforms that enable timely and open communication and help us to understand their needs</w:t>
      </w:r>
    </w:p>
    <w:p w:rsidR="00AE6BEA" w:rsidRPr="001D3539" w:rsidRDefault="00AE6BEA" w:rsidP="00207679">
      <w:pPr>
        <w:pStyle w:val="BodyText"/>
        <w:widowControl w:val="0"/>
        <w:numPr>
          <w:ilvl w:val="0"/>
          <w:numId w:val="19"/>
        </w:numPr>
        <w:spacing w:before="60" w:after="60" w:line="251" w:lineRule="exact"/>
        <w:ind w:left="473" w:hanging="360"/>
      </w:pPr>
      <w:r w:rsidRPr="001D3539">
        <w:t>integrating lessons identified, research, analysis and good practice into the provision of evidence-based policy and advice</w:t>
      </w:r>
    </w:p>
    <w:p w:rsidR="00AE6BEA" w:rsidRPr="001D3539" w:rsidRDefault="00AE6BEA" w:rsidP="00207679">
      <w:pPr>
        <w:pStyle w:val="BodyText"/>
        <w:widowControl w:val="0"/>
        <w:numPr>
          <w:ilvl w:val="0"/>
          <w:numId w:val="19"/>
        </w:numPr>
        <w:spacing w:before="60" w:after="60" w:line="251" w:lineRule="exact"/>
        <w:ind w:left="473" w:hanging="360"/>
      </w:pPr>
      <w:r w:rsidRPr="001D3539">
        <w:t>providing timely, clear and helpful information and advice that enhances links between emergency management and interdependent policy and programs</w:t>
      </w:r>
    </w:p>
    <w:p w:rsidR="00AE6BEA" w:rsidRPr="001D3539" w:rsidRDefault="00AE6BEA" w:rsidP="00207679">
      <w:pPr>
        <w:pStyle w:val="BodyText"/>
        <w:widowControl w:val="0"/>
        <w:numPr>
          <w:ilvl w:val="0"/>
          <w:numId w:val="19"/>
        </w:numPr>
        <w:spacing w:before="60" w:after="60" w:line="251" w:lineRule="exact"/>
        <w:ind w:left="473" w:hanging="360"/>
      </w:pPr>
      <w:r w:rsidRPr="001D3539">
        <w:t>promoting a coordinated strategic direction for emergency management in Queensland.</w:t>
      </w:r>
    </w:p>
    <w:p w:rsidR="00AE6BEA" w:rsidRPr="00654152" w:rsidRDefault="00AE6BEA" w:rsidP="00B81DAB">
      <w:pPr>
        <w:pStyle w:val="Heading3"/>
      </w:pPr>
      <w:r w:rsidRPr="00654152">
        <w:t>Our partners</w:t>
      </w:r>
    </w:p>
    <w:p w:rsidR="00AE6BEA" w:rsidRPr="00654152" w:rsidRDefault="00AE6BEA" w:rsidP="00654152">
      <w:pPr>
        <w:pStyle w:val="BodyText"/>
      </w:pPr>
      <w:r w:rsidRPr="00654152">
        <w:t>The Office of the IGEM works across the emergency and disaster management sector to improve disaster management outcomes for the community</w:t>
      </w:r>
      <w:r w:rsidR="004F7F82">
        <w:t>.</w:t>
      </w:r>
    </w:p>
    <w:p w:rsidR="00AE6BEA" w:rsidRPr="00654152" w:rsidRDefault="00AE6BEA" w:rsidP="00654152">
      <w:pPr>
        <w:pStyle w:val="BodyText"/>
      </w:pPr>
      <w:r w:rsidRPr="00654152">
        <w:t>The Office works closely with its portfolio partners - PSBA, QFES and QPS –</w:t>
      </w:r>
      <w:r w:rsidR="004E5F38">
        <w:t xml:space="preserve"> and </w:t>
      </w:r>
      <w:r w:rsidRPr="00654152">
        <w:t xml:space="preserve">other Queensland Government agencies including </w:t>
      </w:r>
      <w:r w:rsidR="0075612B">
        <w:t>Queensland Health</w:t>
      </w:r>
      <w:r w:rsidR="00866F52">
        <w:t>,</w:t>
      </w:r>
      <w:r w:rsidR="0075612B">
        <w:t xml:space="preserve"> </w:t>
      </w:r>
      <w:r w:rsidR="004F7F82">
        <w:t xml:space="preserve">the </w:t>
      </w:r>
      <w:r w:rsidR="00B50C2F">
        <w:t>Department of</w:t>
      </w:r>
      <w:r w:rsidR="0075612B">
        <w:t xml:space="preserve"> </w:t>
      </w:r>
      <w:r w:rsidRPr="00654152">
        <w:t>Transport and Main Roads</w:t>
      </w:r>
      <w:r w:rsidR="00866F52">
        <w:t>,</w:t>
      </w:r>
      <w:r w:rsidRPr="00654152">
        <w:t xml:space="preserve"> </w:t>
      </w:r>
      <w:r w:rsidR="00E33F9D">
        <w:t xml:space="preserve">the Department of </w:t>
      </w:r>
      <w:r w:rsidRPr="00654152">
        <w:t>Communities, Child Safety and Disability Services</w:t>
      </w:r>
      <w:r w:rsidR="00866F52">
        <w:t>,</w:t>
      </w:r>
      <w:r w:rsidRPr="00654152">
        <w:t xml:space="preserve"> </w:t>
      </w:r>
      <w:r w:rsidR="00E33F9D">
        <w:t xml:space="preserve">the Department of </w:t>
      </w:r>
      <w:r w:rsidRPr="00654152">
        <w:t>Infrastructure, Local Government and Planning</w:t>
      </w:r>
      <w:r w:rsidR="004E5F38">
        <w:t xml:space="preserve">, and </w:t>
      </w:r>
      <w:r w:rsidR="004F7F82">
        <w:t>the Queensland Reconstruction Authority</w:t>
      </w:r>
      <w:r w:rsidR="004E5F38">
        <w:t xml:space="preserve">; the </w:t>
      </w:r>
      <w:r w:rsidR="004F7F82">
        <w:t xml:space="preserve">Local Government Association of Queensland </w:t>
      </w:r>
      <w:r w:rsidRPr="00654152">
        <w:t>and the Bureau of Meteorology. The Office of the IGEM has strong relationships with its partners in the community including local governments and non-government organisations.</w:t>
      </w:r>
    </w:p>
    <w:p w:rsidR="00AE6BEA" w:rsidRPr="00654152" w:rsidRDefault="00AE6BEA" w:rsidP="00654152">
      <w:pPr>
        <w:pStyle w:val="BodyText"/>
      </w:pPr>
      <w:r w:rsidRPr="00654152">
        <w:t xml:space="preserve">The </w:t>
      </w:r>
      <w:r w:rsidR="004F7F82">
        <w:t xml:space="preserve">Office of the </w:t>
      </w:r>
      <w:r w:rsidRPr="00654152">
        <w:t>I</w:t>
      </w:r>
      <w:r w:rsidR="0040669E">
        <w:t>GEM</w:t>
      </w:r>
      <w:r w:rsidRPr="00654152">
        <w:t xml:space="preserve"> is committed to maintaining and enhancing these partnerships, and maximi</w:t>
      </w:r>
      <w:r w:rsidR="004F7F82">
        <w:t>s</w:t>
      </w:r>
      <w:r w:rsidRPr="00654152">
        <w:t>ing stakeholder liaison and collaboration, by ensuring all communication and engagement activities are based on the four key principles of:</w:t>
      </w:r>
    </w:p>
    <w:p w:rsidR="00AE6BEA" w:rsidRPr="002C3D1A" w:rsidRDefault="00AE6BEA" w:rsidP="00207679">
      <w:pPr>
        <w:pStyle w:val="BodyText"/>
        <w:widowControl w:val="0"/>
        <w:numPr>
          <w:ilvl w:val="0"/>
          <w:numId w:val="19"/>
        </w:numPr>
        <w:spacing w:before="60" w:after="60" w:line="251" w:lineRule="exact"/>
        <w:ind w:left="473" w:hanging="360"/>
      </w:pPr>
      <w:r>
        <w:t>clear, accurate and timely</w:t>
      </w:r>
      <w:r w:rsidRPr="002C3D1A">
        <w:t xml:space="preserve"> </w:t>
      </w:r>
      <w:r>
        <w:t>communication</w:t>
      </w:r>
    </w:p>
    <w:p w:rsidR="00AE6BEA" w:rsidRPr="002C3D1A" w:rsidRDefault="00AE6BEA" w:rsidP="00207679">
      <w:pPr>
        <w:pStyle w:val="BodyText"/>
        <w:widowControl w:val="0"/>
        <w:numPr>
          <w:ilvl w:val="0"/>
          <w:numId w:val="19"/>
        </w:numPr>
        <w:spacing w:before="60" w:after="60" w:line="251" w:lineRule="exact"/>
        <w:ind w:left="473" w:hanging="360"/>
      </w:pPr>
      <w:r>
        <w:t>accessibility and</w:t>
      </w:r>
      <w:r w:rsidRPr="002C3D1A">
        <w:t xml:space="preserve"> </w:t>
      </w:r>
      <w:r>
        <w:t>inclusiveness</w:t>
      </w:r>
    </w:p>
    <w:p w:rsidR="00AE6BEA" w:rsidRPr="002C3D1A" w:rsidRDefault="00AE6BEA" w:rsidP="00207679">
      <w:pPr>
        <w:pStyle w:val="BodyText"/>
        <w:widowControl w:val="0"/>
        <w:numPr>
          <w:ilvl w:val="0"/>
          <w:numId w:val="19"/>
        </w:numPr>
        <w:spacing w:before="60" w:after="60" w:line="251" w:lineRule="exact"/>
        <w:ind w:left="473" w:hanging="360"/>
      </w:pPr>
      <w:r>
        <w:t>transparency</w:t>
      </w:r>
    </w:p>
    <w:p w:rsidR="00AE6BEA" w:rsidRPr="002C3D1A" w:rsidRDefault="00AE6BEA" w:rsidP="00207679">
      <w:pPr>
        <w:pStyle w:val="BodyText"/>
        <w:widowControl w:val="0"/>
        <w:numPr>
          <w:ilvl w:val="0"/>
          <w:numId w:val="19"/>
        </w:numPr>
        <w:spacing w:before="60" w:after="60" w:line="251" w:lineRule="exact"/>
        <w:ind w:left="473" w:hanging="360"/>
      </w:pPr>
      <w:r>
        <w:t>measurable outcomes and</w:t>
      </w:r>
      <w:r w:rsidRPr="002C3D1A">
        <w:t xml:space="preserve"> </w:t>
      </w:r>
      <w:r>
        <w:t>evaluation.</w:t>
      </w:r>
    </w:p>
    <w:p w:rsidR="00AE6BEA" w:rsidRDefault="00AE6BEA" w:rsidP="00AE6BEA">
      <w:pPr>
        <w:rPr>
          <w:rFonts w:eastAsia="Arial"/>
          <w:sz w:val="20"/>
        </w:rPr>
      </w:pPr>
      <w:r>
        <w:rPr>
          <w:rFonts w:eastAsia="Arial"/>
          <w:sz w:val="20"/>
        </w:rPr>
        <w:br w:type="page"/>
      </w:r>
    </w:p>
    <w:p w:rsidR="00AE6BEA" w:rsidRPr="00B9545B" w:rsidRDefault="00AE6BEA" w:rsidP="00C60996">
      <w:pPr>
        <w:pStyle w:val="Heading2"/>
      </w:pPr>
      <w:bookmarkStart w:id="81" w:name="_TOC_250016"/>
      <w:bookmarkStart w:id="82" w:name="_Toc460406674"/>
      <w:bookmarkStart w:id="83" w:name="_Toc460406824"/>
      <w:bookmarkStart w:id="84" w:name="_Toc460406860"/>
      <w:bookmarkStart w:id="85" w:name="_Toc460406939"/>
      <w:bookmarkStart w:id="86" w:name="_Toc460407053"/>
      <w:bookmarkStart w:id="87" w:name="_Toc460487956"/>
      <w:r w:rsidRPr="00B9545B">
        <w:lastRenderedPageBreak/>
        <w:t>Organisation structure</w:t>
      </w:r>
      <w:bookmarkEnd w:id="81"/>
      <w:bookmarkEnd w:id="82"/>
      <w:bookmarkEnd w:id="83"/>
      <w:bookmarkEnd w:id="84"/>
      <w:bookmarkEnd w:id="85"/>
      <w:bookmarkEnd w:id="86"/>
      <w:bookmarkEnd w:id="87"/>
    </w:p>
    <w:p w:rsidR="00AE6BEA" w:rsidRDefault="00AE6BEA" w:rsidP="00B9545B">
      <w:pPr>
        <w:pStyle w:val="BodyText"/>
        <w:rPr>
          <w:sz w:val="20"/>
        </w:rPr>
      </w:pPr>
      <w:r w:rsidRPr="00B50C2F">
        <w:t>(as at 30 June</w:t>
      </w:r>
      <w:r w:rsidRPr="00B50C2F">
        <w:rPr>
          <w:spacing w:val="-7"/>
        </w:rPr>
        <w:t xml:space="preserve"> </w:t>
      </w:r>
      <w:r w:rsidRPr="00B50C2F">
        <w:t>2016)</w:t>
      </w:r>
    </w:p>
    <w:p w:rsidR="00AE6BEA" w:rsidRDefault="001B1354" w:rsidP="00AE6BEA">
      <w:pPr>
        <w:spacing w:before="6"/>
        <w:rPr>
          <w:rFonts w:eastAsia="Arial"/>
          <w:sz w:val="26"/>
          <w:szCs w:val="26"/>
        </w:rPr>
      </w:pPr>
      <w:r>
        <w:rPr>
          <w:rFonts w:eastAsia="Arial"/>
          <w:noProof/>
          <w:sz w:val="26"/>
          <w:szCs w:val="26"/>
          <w:lang w:val="en-AU" w:eastAsia="en-AU"/>
        </w:rPr>
        <w:drawing>
          <wp:inline distT="0" distB="0" distL="0" distR="0" wp14:anchorId="3FE1DA9E" wp14:editId="568CAD66">
            <wp:extent cx="6411604" cy="190500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M Org Structure.png"/>
                    <pic:cNvPicPr/>
                  </pic:nvPicPr>
                  <pic:blipFill rotWithShape="1">
                    <a:blip r:embed="rId60">
                      <a:extLst>
                        <a:ext uri="{28A0092B-C50C-407E-A947-70E740481C1C}">
                          <a14:useLocalDpi xmlns:a14="http://schemas.microsoft.com/office/drawing/2010/main" val="0"/>
                        </a:ext>
                      </a:extLst>
                    </a:blip>
                    <a:srcRect l="5266" t="21277" r="26875" b="50212"/>
                    <a:stretch/>
                  </pic:blipFill>
                  <pic:spPr bwMode="auto">
                    <a:xfrm>
                      <a:off x="0" y="0"/>
                      <a:ext cx="6413422" cy="1905540"/>
                    </a:xfrm>
                    <a:prstGeom prst="rect">
                      <a:avLst/>
                    </a:prstGeom>
                    <a:ln>
                      <a:noFill/>
                    </a:ln>
                    <a:extLst>
                      <a:ext uri="{53640926-AAD7-44D8-BBD7-CCE9431645EC}">
                        <a14:shadowObscured xmlns:a14="http://schemas.microsoft.com/office/drawing/2010/main"/>
                      </a:ext>
                    </a:extLst>
                  </pic:spPr>
                </pic:pic>
              </a:graphicData>
            </a:graphic>
          </wp:inline>
        </w:drawing>
      </w:r>
    </w:p>
    <w:p w:rsidR="00B9545B" w:rsidRPr="00341581" w:rsidRDefault="00B9545B" w:rsidP="00B81DAB">
      <w:pPr>
        <w:pStyle w:val="Heading3"/>
      </w:pPr>
      <w:r w:rsidRPr="00CC416C">
        <w:rPr>
          <w:rFonts w:eastAsiaTheme="minorHAnsi"/>
        </w:rPr>
        <w:t>Our s</w:t>
      </w:r>
      <w:r w:rsidRPr="00CC416C">
        <w:t>tructure</w:t>
      </w:r>
    </w:p>
    <w:p w:rsidR="00AE6BEA" w:rsidRDefault="00AE6BEA" w:rsidP="00B9545B">
      <w:pPr>
        <w:pStyle w:val="BodyText"/>
        <w:spacing w:line="242" w:lineRule="auto"/>
      </w:pPr>
      <w:r>
        <w:rPr>
          <w:b/>
        </w:rPr>
        <w:t xml:space="preserve">Interoperability and Innovation </w:t>
      </w:r>
      <w:r>
        <w:t>facilitates programs and solutions designed to help the Office and agencies</w:t>
      </w:r>
      <w:r>
        <w:rPr>
          <w:spacing w:val="-32"/>
        </w:rPr>
        <w:t xml:space="preserve"> </w:t>
      </w:r>
      <w:r>
        <w:t>deliver better disaster management outcomes.</w:t>
      </w:r>
    </w:p>
    <w:p w:rsidR="00AE6BEA" w:rsidRDefault="00AE6BEA" w:rsidP="00B9545B">
      <w:pPr>
        <w:pStyle w:val="BodyText"/>
        <w:spacing w:line="242" w:lineRule="auto"/>
        <w:rPr>
          <w:rFonts w:eastAsia="Arial"/>
        </w:rPr>
      </w:pPr>
      <w:r>
        <w:rPr>
          <w:b/>
        </w:rPr>
        <w:t xml:space="preserve">Performance, Reporting and Policy Analysis </w:t>
      </w:r>
      <w:r w:rsidRPr="00EA20C1">
        <w:t>develops and coordinates</w:t>
      </w:r>
      <w:r>
        <w:rPr>
          <w:b/>
        </w:rPr>
        <w:t xml:space="preserve"> </w:t>
      </w:r>
      <w:r>
        <w:t>internal strategy, planning and governance arrangements for the Office of the</w:t>
      </w:r>
      <w:r>
        <w:rPr>
          <w:spacing w:val="-30"/>
        </w:rPr>
        <w:t xml:space="preserve"> </w:t>
      </w:r>
      <w:r>
        <w:t>IGEM.</w:t>
      </w:r>
    </w:p>
    <w:p w:rsidR="00AE6BEA" w:rsidRDefault="00AE6BEA" w:rsidP="00B9545B">
      <w:pPr>
        <w:pStyle w:val="BodyText"/>
        <w:spacing w:line="242" w:lineRule="auto"/>
        <w:rPr>
          <w:rFonts w:eastAsia="Arial"/>
        </w:rPr>
      </w:pPr>
      <w:r>
        <w:rPr>
          <w:b/>
        </w:rPr>
        <w:t xml:space="preserve">Standards, Best Practice and Evaluation </w:t>
      </w:r>
      <w:r>
        <w:t>is responsible for the management and performance of the Emergency Management Assurance</w:t>
      </w:r>
      <w:r>
        <w:rPr>
          <w:spacing w:val="-22"/>
        </w:rPr>
        <w:t xml:space="preserve"> </w:t>
      </w:r>
      <w:r>
        <w:t>Framework, including the Standard and the Assurance and Excellence Development Program</w:t>
      </w:r>
      <w:r w:rsidR="00924ECD">
        <w:t xml:space="preserve"> (AEDP)</w:t>
      </w:r>
      <w:r>
        <w:t>.</w:t>
      </w:r>
    </w:p>
    <w:p w:rsidR="00AE6BEA" w:rsidRDefault="00AE6BEA" w:rsidP="00B9545B">
      <w:pPr>
        <w:pStyle w:val="BodyText"/>
        <w:spacing w:line="242" w:lineRule="auto"/>
      </w:pPr>
      <w:r>
        <w:rPr>
          <w:b/>
        </w:rPr>
        <w:t xml:space="preserve">Community and Stakeholder Engagement </w:t>
      </w:r>
      <w:r>
        <w:t>oversees the active engagement of stakeholders</w:t>
      </w:r>
      <w:r>
        <w:rPr>
          <w:spacing w:val="-33"/>
        </w:rPr>
        <w:t xml:space="preserve"> </w:t>
      </w:r>
      <w:r>
        <w:t>within the disaster management sphere, non-government organisations and the public for the Office of</w:t>
      </w:r>
      <w:r>
        <w:rPr>
          <w:spacing w:val="-33"/>
        </w:rPr>
        <w:t xml:space="preserve"> </w:t>
      </w:r>
      <w:r w:rsidR="009707A7">
        <w:t>the </w:t>
      </w:r>
      <w:r>
        <w:t>IGEM.</w:t>
      </w:r>
    </w:p>
    <w:p w:rsidR="00B34B8E" w:rsidRDefault="00B34B8E" w:rsidP="00B34B8E">
      <w:pPr>
        <w:rPr>
          <w:highlight w:val="yellow"/>
        </w:rPr>
      </w:pPr>
      <w:r>
        <w:rPr>
          <w:highlight w:val="yellow"/>
        </w:rPr>
        <w:br w:type="page"/>
      </w:r>
    </w:p>
    <w:p w:rsidR="00D01B67" w:rsidRPr="00341581" w:rsidRDefault="004F5CC2" w:rsidP="00D77F80">
      <w:pPr>
        <w:pStyle w:val="Heading1"/>
        <w:ind w:left="0" w:right="77"/>
      </w:pPr>
      <w:bookmarkStart w:id="88" w:name="_Toc442339178"/>
      <w:bookmarkStart w:id="89" w:name="_Toc460406675"/>
      <w:bookmarkStart w:id="90" w:name="_Toc460406825"/>
      <w:bookmarkStart w:id="91" w:name="_Toc460406861"/>
      <w:bookmarkStart w:id="92" w:name="_Toc460406940"/>
      <w:bookmarkStart w:id="93" w:name="_Toc460407054"/>
      <w:bookmarkStart w:id="94" w:name="_Toc460487957"/>
      <w:bookmarkEnd w:id="78"/>
      <w:bookmarkEnd w:id="79"/>
      <w:r>
        <w:lastRenderedPageBreak/>
        <w:t>Financial s</w:t>
      </w:r>
      <w:r w:rsidR="00583F71" w:rsidRPr="00341581">
        <w:t>ummary</w:t>
      </w:r>
      <w:bookmarkEnd w:id="88"/>
      <w:bookmarkEnd w:id="89"/>
      <w:bookmarkEnd w:id="90"/>
      <w:bookmarkEnd w:id="91"/>
      <w:bookmarkEnd w:id="92"/>
      <w:bookmarkEnd w:id="93"/>
      <w:bookmarkEnd w:id="94"/>
    </w:p>
    <w:p w:rsidR="00405941" w:rsidRPr="00341581" w:rsidRDefault="00405941" w:rsidP="00C60996">
      <w:pPr>
        <w:pStyle w:val="Heading2"/>
      </w:pPr>
      <w:bookmarkStart w:id="95" w:name="_Toc415049809"/>
      <w:bookmarkStart w:id="96" w:name="_Toc415050361"/>
      <w:bookmarkStart w:id="97" w:name="_Toc441671806"/>
      <w:bookmarkStart w:id="98" w:name="_Toc441672094"/>
      <w:bookmarkStart w:id="99" w:name="_Toc442168881"/>
      <w:bookmarkStart w:id="100" w:name="_Toc460406676"/>
      <w:bookmarkStart w:id="101" w:name="_Toc460406826"/>
      <w:bookmarkStart w:id="102" w:name="_Toc460406862"/>
      <w:bookmarkStart w:id="103" w:name="_Toc460406941"/>
      <w:bookmarkStart w:id="104" w:name="_Toc460407055"/>
      <w:bookmarkStart w:id="105" w:name="_Toc460487958"/>
      <w:r w:rsidRPr="006C443A">
        <w:t>Summary of financial performance</w:t>
      </w:r>
      <w:bookmarkEnd w:id="95"/>
      <w:bookmarkEnd w:id="96"/>
      <w:bookmarkEnd w:id="97"/>
      <w:bookmarkEnd w:id="98"/>
      <w:bookmarkEnd w:id="99"/>
      <w:bookmarkEnd w:id="100"/>
      <w:bookmarkEnd w:id="101"/>
      <w:bookmarkEnd w:id="102"/>
      <w:bookmarkEnd w:id="103"/>
      <w:bookmarkEnd w:id="104"/>
      <w:bookmarkEnd w:id="105"/>
    </w:p>
    <w:p w:rsidR="006C443A" w:rsidRDefault="006C443A" w:rsidP="006C443A">
      <w:pPr>
        <w:rPr>
          <w:b/>
        </w:rPr>
      </w:pPr>
      <w:r>
        <w:t>The following table summarises the operating result and financial position for the Office of the IGEM for 2015-16 and the previous financial year.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gridCol w:w="1276"/>
      </w:tblGrid>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shd w:val="clear" w:color="auto" w:fill="AB054C"/>
            <w:hideMark/>
          </w:tcPr>
          <w:p w:rsidR="001B0638" w:rsidRPr="005A15DF" w:rsidRDefault="001B0638" w:rsidP="00024DCD">
            <w:pPr>
              <w:autoSpaceDE w:val="0"/>
              <w:autoSpaceDN w:val="0"/>
              <w:adjustRightInd w:val="0"/>
              <w:ind w:right="-108"/>
              <w:rPr>
                <w:b/>
                <w:color w:val="FFFFFF" w:themeColor="background1"/>
              </w:rPr>
            </w:pPr>
            <w:r w:rsidRPr="005A15DF">
              <w:rPr>
                <w:b/>
                <w:color w:val="FFFFFF" w:themeColor="background1"/>
              </w:rPr>
              <w:t>Statement of comprehensive income</w:t>
            </w:r>
          </w:p>
        </w:tc>
        <w:tc>
          <w:tcPr>
            <w:tcW w:w="1276" w:type="dxa"/>
            <w:tcBorders>
              <w:top w:val="single" w:sz="4" w:space="0" w:color="auto"/>
              <w:left w:val="single" w:sz="4" w:space="0" w:color="auto"/>
              <w:bottom w:val="single" w:sz="4" w:space="0" w:color="auto"/>
              <w:right w:val="single" w:sz="4" w:space="0" w:color="auto"/>
            </w:tcBorders>
            <w:shd w:val="clear" w:color="auto" w:fill="AB054C"/>
          </w:tcPr>
          <w:p w:rsidR="001B0638" w:rsidRPr="005A15DF" w:rsidRDefault="001B0638" w:rsidP="00841428">
            <w:pPr>
              <w:autoSpaceDE w:val="0"/>
              <w:autoSpaceDN w:val="0"/>
              <w:adjustRightInd w:val="0"/>
              <w:ind w:right="-108"/>
              <w:jc w:val="center"/>
              <w:rPr>
                <w:b/>
                <w:color w:val="FFFFFF" w:themeColor="background1"/>
              </w:rPr>
            </w:pPr>
            <w:r w:rsidRPr="005A15DF">
              <w:rPr>
                <w:b/>
                <w:color w:val="FFFFFF" w:themeColor="background1"/>
              </w:rPr>
              <w:t>2015-16</w:t>
            </w:r>
            <w:r>
              <w:rPr>
                <w:b/>
                <w:color w:val="FFFFFF" w:themeColor="background1"/>
              </w:rPr>
              <w:br/>
            </w:r>
            <w:r w:rsidRPr="005A15DF">
              <w:rPr>
                <w:b/>
                <w:color w:val="FFFFFF" w:themeColor="background1"/>
              </w:rPr>
              <w:t>$’000</w:t>
            </w:r>
          </w:p>
        </w:tc>
        <w:tc>
          <w:tcPr>
            <w:tcW w:w="1276" w:type="dxa"/>
            <w:tcBorders>
              <w:top w:val="single" w:sz="4" w:space="0" w:color="auto"/>
              <w:left w:val="single" w:sz="4" w:space="0" w:color="auto"/>
              <w:bottom w:val="single" w:sz="4" w:space="0" w:color="auto"/>
              <w:right w:val="single" w:sz="4" w:space="0" w:color="auto"/>
            </w:tcBorders>
            <w:shd w:val="clear" w:color="auto" w:fill="AB054C"/>
          </w:tcPr>
          <w:p w:rsidR="001B0638" w:rsidRPr="005A15DF" w:rsidDel="002E3464" w:rsidRDefault="001B0638" w:rsidP="00841428">
            <w:pPr>
              <w:autoSpaceDE w:val="0"/>
              <w:autoSpaceDN w:val="0"/>
              <w:adjustRightInd w:val="0"/>
              <w:ind w:right="-108"/>
              <w:jc w:val="center"/>
              <w:rPr>
                <w:b/>
                <w:color w:val="FFFFFF" w:themeColor="background1"/>
              </w:rPr>
            </w:pPr>
            <w:r w:rsidRPr="005A15DF">
              <w:rPr>
                <w:b/>
                <w:color w:val="FFFFFF" w:themeColor="background1"/>
              </w:rPr>
              <w:t>2014-15</w:t>
            </w:r>
            <w:r>
              <w:rPr>
                <w:b/>
                <w:color w:val="FFFFFF" w:themeColor="background1"/>
              </w:rPr>
              <w:br/>
            </w:r>
            <w:r w:rsidRPr="005A15DF">
              <w:rPr>
                <w:b/>
                <w:color w:val="FFFFFF" w:themeColor="background1"/>
              </w:rPr>
              <w:t>$’000</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pPr>
            <w:r>
              <w:t>Total income from continuing operations</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pPr>
            <w:r>
              <w:t>4,644</w:t>
            </w:r>
          </w:p>
        </w:tc>
        <w:tc>
          <w:tcPr>
            <w:tcW w:w="1276"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76"/>
              <w:jc w:val="right"/>
            </w:pPr>
            <w:r>
              <w:t xml:space="preserve">4,509 </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pPr>
            <w:r>
              <w:t>Total expenses from continuing operations</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pPr>
            <w:r>
              <w:t>4,370</w:t>
            </w:r>
          </w:p>
        </w:tc>
        <w:tc>
          <w:tcPr>
            <w:tcW w:w="1276"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76"/>
              <w:jc w:val="right"/>
            </w:pPr>
            <w:r>
              <w:t>4,338</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pPr>
            <w:r>
              <w:t>Other comprehensive income</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pPr>
            <w:r>
              <w:t>Nil</w:t>
            </w:r>
          </w:p>
        </w:tc>
        <w:tc>
          <w:tcPr>
            <w:tcW w:w="1276"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76"/>
              <w:jc w:val="right"/>
            </w:pPr>
            <w:r>
              <w:t>Nil</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rPr>
                <w:b/>
              </w:rPr>
            </w:pPr>
            <w:r>
              <w:rPr>
                <w:b/>
              </w:rPr>
              <w:t>Total comprehensive income</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rPr>
                <w:b/>
              </w:rPr>
            </w:pPr>
            <w:r>
              <w:rPr>
                <w:b/>
              </w:rPr>
              <w:t>274</w:t>
            </w:r>
          </w:p>
        </w:tc>
        <w:tc>
          <w:tcPr>
            <w:tcW w:w="1276" w:type="dxa"/>
            <w:tcBorders>
              <w:top w:val="single" w:sz="4" w:space="0" w:color="auto"/>
              <w:left w:val="single" w:sz="4" w:space="0" w:color="auto"/>
              <w:bottom w:val="single" w:sz="4" w:space="0" w:color="auto"/>
              <w:right w:val="single" w:sz="4" w:space="0" w:color="auto"/>
            </w:tcBorders>
          </w:tcPr>
          <w:p w:rsidR="001B0638" w:rsidDel="00431A8D" w:rsidRDefault="001B0638" w:rsidP="00DB5F65">
            <w:pPr>
              <w:autoSpaceDE w:val="0"/>
              <w:autoSpaceDN w:val="0"/>
              <w:adjustRightInd w:val="0"/>
              <w:ind w:right="76"/>
              <w:jc w:val="right"/>
              <w:rPr>
                <w:b/>
              </w:rPr>
            </w:pPr>
            <w:r>
              <w:rPr>
                <w:b/>
              </w:rPr>
              <w:t>171</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shd w:val="clear" w:color="auto" w:fill="AB054C"/>
          </w:tcPr>
          <w:p w:rsidR="001B0638" w:rsidRPr="005A15DF" w:rsidRDefault="001B0638" w:rsidP="00DB5F65">
            <w:pPr>
              <w:autoSpaceDE w:val="0"/>
              <w:autoSpaceDN w:val="0"/>
              <w:adjustRightInd w:val="0"/>
              <w:ind w:right="-108"/>
              <w:rPr>
                <w:color w:val="FFFFFF" w:themeColor="background1"/>
              </w:rPr>
            </w:pPr>
            <w:r w:rsidRPr="005A15DF">
              <w:rPr>
                <w:b/>
                <w:color w:val="FFFFFF" w:themeColor="background1"/>
              </w:rPr>
              <w:t>Statement of financial position</w:t>
            </w:r>
          </w:p>
        </w:tc>
        <w:tc>
          <w:tcPr>
            <w:tcW w:w="1276" w:type="dxa"/>
            <w:tcBorders>
              <w:top w:val="single" w:sz="4" w:space="0" w:color="auto"/>
              <w:left w:val="single" w:sz="4" w:space="0" w:color="auto"/>
              <w:bottom w:val="single" w:sz="4" w:space="0" w:color="auto"/>
              <w:right w:val="single" w:sz="4" w:space="0" w:color="auto"/>
            </w:tcBorders>
            <w:shd w:val="clear" w:color="auto" w:fill="AB054C"/>
          </w:tcPr>
          <w:p w:rsidR="001B0638" w:rsidRPr="005A15DF" w:rsidRDefault="001B0638" w:rsidP="00841428">
            <w:pPr>
              <w:autoSpaceDE w:val="0"/>
              <w:autoSpaceDN w:val="0"/>
              <w:adjustRightInd w:val="0"/>
              <w:ind w:right="-108"/>
              <w:jc w:val="center"/>
              <w:rPr>
                <w:b/>
                <w:color w:val="FFFFFF" w:themeColor="background1"/>
              </w:rPr>
            </w:pPr>
            <w:r w:rsidRPr="005A15DF">
              <w:rPr>
                <w:b/>
                <w:color w:val="FFFFFF" w:themeColor="background1"/>
              </w:rPr>
              <w:t>2015-16</w:t>
            </w:r>
            <w:r>
              <w:rPr>
                <w:b/>
                <w:color w:val="FFFFFF" w:themeColor="background1"/>
              </w:rPr>
              <w:br/>
            </w:r>
            <w:r w:rsidRPr="005A15DF">
              <w:rPr>
                <w:b/>
                <w:color w:val="FFFFFF" w:themeColor="background1"/>
              </w:rPr>
              <w:t>$’000</w:t>
            </w:r>
          </w:p>
        </w:tc>
        <w:tc>
          <w:tcPr>
            <w:tcW w:w="1276" w:type="dxa"/>
            <w:tcBorders>
              <w:top w:val="single" w:sz="4" w:space="0" w:color="auto"/>
              <w:left w:val="single" w:sz="4" w:space="0" w:color="auto"/>
              <w:bottom w:val="single" w:sz="4" w:space="0" w:color="auto"/>
              <w:right w:val="single" w:sz="4" w:space="0" w:color="auto"/>
            </w:tcBorders>
            <w:shd w:val="clear" w:color="auto" w:fill="AB054C"/>
          </w:tcPr>
          <w:p w:rsidR="001B0638" w:rsidRPr="00841428" w:rsidRDefault="001B0638" w:rsidP="00841428">
            <w:pPr>
              <w:autoSpaceDE w:val="0"/>
              <w:autoSpaceDN w:val="0"/>
              <w:adjustRightInd w:val="0"/>
              <w:ind w:right="-108"/>
              <w:jc w:val="center"/>
              <w:rPr>
                <w:b/>
                <w:color w:val="FFFFFF" w:themeColor="background1"/>
              </w:rPr>
            </w:pPr>
            <w:r w:rsidRPr="005A15DF">
              <w:rPr>
                <w:b/>
                <w:color w:val="FFFFFF" w:themeColor="background1"/>
              </w:rPr>
              <w:t>2014-15</w:t>
            </w:r>
            <w:r>
              <w:rPr>
                <w:b/>
                <w:color w:val="FFFFFF" w:themeColor="background1"/>
              </w:rPr>
              <w:br/>
            </w:r>
            <w:r w:rsidRPr="005A15DF">
              <w:rPr>
                <w:b/>
                <w:color w:val="FFFFFF" w:themeColor="background1"/>
              </w:rPr>
              <w:t>$’000</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pPr>
            <w:r>
              <w:t>Total assets</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pPr>
            <w:r>
              <w:t>1,476</w:t>
            </w:r>
          </w:p>
        </w:tc>
        <w:tc>
          <w:tcPr>
            <w:tcW w:w="1276"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76"/>
              <w:jc w:val="right"/>
            </w:pPr>
            <w:r>
              <w:t>1,532</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pPr>
            <w:r>
              <w:t>Total liabilities</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pPr>
            <w:r>
              <w:t>362</w:t>
            </w:r>
          </w:p>
        </w:tc>
        <w:tc>
          <w:tcPr>
            <w:tcW w:w="1276" w:type="dxa"/>
            <w:tcBorders>
              <w:top w:val="single" w:sz="4" w:space="0" w:color="auto"/>
              <w:left w:val="single" w:sz="4" w:space="0" w:color="auto"/>
              <w:bottom w:val="single" w:sz="4" w:space="0" w:color="auto"/>
              <w:right w:val="single" w:sz="4" w:space="0" w:color="auto"/>
            </w:tcBorders>
          </w:tcPr>
          <w:p w:rsidR="001B0638" w:rsidDel="00F76F8F" w:rsidRDefault="001B0638" w:rsidP="00DB5F65">
            <w:pPr>
              <w:autoSpaceDE w:val="0"/>
              <w:autoSpaceDN w:val="0"/>
              <w:adjustRightInd w:val="0"/>
              <w:ind w:right="76"/>
              <w:jc w:val="right"/>
            </w:pPr>
            <w:r>
              <w:t>692</w:t>
            </w:r>
          </w:p>
        </w:tc>
      </w:tr>
      <w:tr w:rsidR="001B0638" w:rsidTr="001B0638">
        <w:trPr>
          <w:trHeight w:val="20"/>
        </w:trPr>
        <w:tc>
          <w:tcPr>
            <w:tcW w:w="7508" w:type="dxa"/>
            <w:tcBorders>
              <w:top w:val="single" w:sz="4" w:space="0" w:color="auto"/>
              <w:left w:val="single" w:sz="4" w:space="0" w:color="auto"/>
              <w:bottom w:val="single" w:sz="4" w:space="0" w:color="auto"/>
              <w:right w:val="single" w:sz="4" w:space="0" w:color="auto"/>
            </w:tcBorders>
          </w:tcPr>
          <w:p w:rsidR="001B0638" w:rsidRDefault="001B0638" w:rsidP="00DB5F65">
            <w:pPr>
              <w:autoSpaceDE w:val="0"/>
              <w:autoSpaceDN w:val="0"/>
              <w:adjustRightInd w:val="0"/>
              <w:ind w:right="-108"/>
              <w:rPr>
                <w:b/>
              </w:rPr>
            </w:pPr>
            <w:r>
              <w:rPr>
                <w:b/>
              </w:rPr>
              <w:t>Net assets (equity)</w:t>
            </w:r>
          </w:p>
        </w:tc>
        <w:tc>
          <w:tcPr>
            <w:tcW w:w="1276" w:type="dxa"/>
            <w:tcBorders>
              <w:top w:val="single" w:sz="4" w:space="0" w:color="auto"/>
              <w:left w:val="single" w:sz="4" w:space="0" w:color="auto"/>
              <w:bottom w:val="single" w:sz="4" w:space="0" w:color="auto"/>
              <w:right w:val="single" w:sz="4" w:space="0" w:color="auto"/>
            </w:tcBorders>
            <w:shd w:val="clear" w:color="auto" w:fill="FEDADD" w:themeFill="accent5"/>
          </w:tcPr>
          <w:p w:rsidR="001B0638" w:rsidRDefault="001B0638" w:rsidP="00DB5F65">
            <w:pPr>
              <w:autoSpaceDE w:val="0"/>
              <w:autoSpaceDN w:val="0"/>
              <w:adjustRightInd w:val="0"/>
              <w:ind w:right="76"/>
              <w:jc w:val="right"/>
              <w:rPr>
                <w:b/>
              </w:rPr>
            </w:pPr>
            <w:r>
              <w:rPr>
                <w:b/>
              </w:rPr>
              <w:t>1,114</w:t>
            </w:r>
          </w:p>
        </w:tc>
        <w:tc>
          <w:tcPr>
            <w:tcW w:w="1276" w:type="dxa"/>
            <w:tcBorders>
              <w:top w:val="single" w:sz="4" w:space="0" w:color="auto"/>
              <w:left w:val="single" w:sz="4" w:space="0" w:color="auto"/>
              <w:bottom w:val="single" w:sz="4" w:space="0" w:color="auto"/>
              <w:right w:val="single" w:sz="4" w:space="0" w:color="auto"/>
            </w:tcBorders>
          </w:tcPr>
          <w:p w:rsidR="001B0638" w:rsidDel="00381A75" w:rsidRDefault="001B0638" w:rsidP="00DB5F65">
            <w:pPr>
              <w:autoSpaceDE w:val="0"/>
              <w:autoSpaceDN w:val="0"/>
              <w:adjustRightInd w:val="0"/>
              <w:ind w:right="76"/>
              <w:jc w:val="right"/>
              <w:rPr>
                <w:b/>
              </w:rPr>
            </w:pPr>
            <w:r>
              <w:rPr>
                <w:b/>
              </w:rPr>
              <w:t>840</w:t>
            </w:r>
          </w:p>
        </w:tc>
      </w:tr>
    </w:tbl>
    <w:p w:rsidR="006C443A" w:rsidRPr="006C443A" w:rsidRDefault="006C443A" w:rsidP="006C443A">
      <w:r w:rsidRPr="006C443A">
        <w:t>For 2015-16, the Office of the IGEM received income from continuing operations of $4.644 million and incurred total expenditure from continuing operations of $4.370 million. This was comprised predominantly of:</w:t>
      </w:r>
    </w:p>
    <w:p w:rsidR="006C443A" w:rsidRPr="006C443A" w:rsidRDefault="006C443A" w:rsidP="006C443A">
      <w:pPr>
        <w:rPr>
          <w:b/>
        </w:rPr>
      </w:pPr>
      <w:r w:rsidRPr="006C443A">
        <w:rPr>
          <w:b/>
        </w:rPr>
        <w:t>Income</w:t>
      </w:r>
    </w:p>
    <w:p w:rsidR="006C443A" w:rsidRPr="006C443A" w:rsidRDefault="006C443A" w:rsidP="006C443A">
      <w:pPr>
        <w:numPr>
          <w:ilvl w:val="0"/>
          <w:numId w:val="39"/>
        </w:numPr>
        <w:spacing w:before="0" w:after="0"/>
      </w:pPr>
      <w:r w:rsidRPr="006C443A">
        <w:t xml:space="preserve">appropriation revenue for services $3.947 million </w:t>
      </w:r>
    </w:p>
    <w:p w:rsidR="006C443A" w:rsidRPr="006C443A" w:rsidRDefault="006C443A" w:rsidP="006C443A">
      <w:pPr>
        <w:numPr>
          <w:ilvl w:val="0"/>
          <w:numId w:val="39"/>
        </w:numPr>
        <w:spacing w:before="0" w:after="0"/>
      </w:pPr>
      <w:r w:rsidRPr="006C443A">
        <w:t>services received below fair value $0.685 million</w:t>
      </w:r>
    </w:p>
    <w:p w:rsidR="006C443A" w:rsidRPr="006C443A" w:rsidRDefault="006C443A" w:rsidP="006C443A">
      <w:pPr>
        <w:rPr>
          <w:b/>
        </w:rPr>
      </w:pPr>
      <w:r w:rsidRPr="006C443A">
        <w:rPr>
          <w:b/>
        </w:rPr>
        <w:t>Expenses</w:t>
      </w:r>
    </w:p>
    <w:p w:rsidR="006C443A" w:rsidRPr="006C443A" w:rsidRDefault="006C443A" w:rsidP="006C443A">
      <w:pPr>
        <w:numPr>
          <w:ilvl w:val="0"/>
          <w:numId w:val="39"/>
        </w:numPr>
        <w:spacing w:before="0" w:after="0"/>
      </w:pPr>
      <w:r w:rsidRPr="006C443A">
        <w:t>employee expenses $2.827 million</w:t>
      </w:r>
    </w:p>
    <w:p w:rsidR="006C443A" w:rsidRPr="006C443A" w:rsidRDefault="006C443A" w:rsidP="006C443A">
      <w:pPr>
        <w:numPr>
          <w:ilvl w:val="0"/>
          <w:numId w:val="39"/>
        </w:numPr>
        <w:spacing w:before="0" w:after="0"/>
      </w:pPr>
      <w:r w:rsidRPr="006C443A">
        <w:t>supplies and services $0.839 million</w:t>
      </w:r>
    </w:p>
    <w:p w:rsidR="006C443A" w:rsidRPr="006C443A" w:rsidRDefault="006C443A" w:rsidP="006C443A">
      <w:pPr>
        <w:numPr>
          <w:ilvl w:val="0"/>
          <w:numId w:val="39"/>
        </w:numPr>
        <w:spacing w:before="0" w:after="0"/>
      </w:pPr>
      <w:r w:rsidRPr="006C443A">
        <w:t>other expenses $0.699 million.</w:t>
      </w:r>
    </w:p>
    <w:p w:rsidR="006C443A" w:rsidRPr="006C443A" w:rsidRDefault="006C443A" w:rsidP="006C443A">
      <w:pPr>
        <w:rPr>
          <w:b/>
        </w:rPr>
      </w:pPr>
      <w:r w:rsidRPr="006C443A">
        <w:rPr>
          <w:b/>
        </w:rPr>
        <w:t>Income and expenses from continuing operations</w:t>
      </w:r>
    </w:p>
    <w:p w:rsidR="006C443A" w:rsidRPr="006C443A" w:rsidRDefault="006C443A" w:rsidP="006C443A">
      <w:r w:rsidRPr="006C443A">
        <w:t xml:space="preserve">The Office of the IGEM is responsible for providing the Minister for Police, Fire and Emergency Services and Minister for Corrective Services, government and the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 </w:t>
      </w:r>
    </w:p>
    <w:p w:rsidR="006C443A" w:rsidRDefault="006C443A" w:rsidP="006C443A">
      <w:r>
        <w:t xml:space="preserve">The Office of the IGEM is funded to deliver the above services predominantly through parliamentary appropriations. The Office of the IGEM is also supported by the PSBA which provides corporate support services to the entity. The value of these services received is recognised as income and as an expense in the statement of comprehensive income. </w:t>
      </w:r>
    </w:p>
    <w:p w:rsidR="00405941" w:rsidRPr="00341581" w:rsidRDefault="00405941" w:rsidP="00C60996">
      <w:pPr>
        <w:pStyle w:val="Heading2"/>
      </w:pPr>
      <w:bookmarkStart w:id="106" w:name="_Toc415049810"/>
      <w:bookmarkStart w:id="107" w:name="_Toc415050362"/>
      <w:bookmarkStart w:id="108" w:name="_Toc441671807"/>
      <w:bookmarkStart w:id="109" w:name="_Toc441672095"/>
      <w:bookmarkStart w:id="110" w:name="_Toc442168882"/>
      <w:bookmarkStart w:id="111" w:name="_Toc460406677"/>
      <w:bookmarkStart w:id="112" w:name="_Toc460406827"/>
      <w:bookmarkStart w:id="113" w:name="_Toc460406863"/>
      <w:bookmarkStart w:id="114" w:name="_Toc460406942"/>
      <w:bookmarkStart w:id="115" w:name="_Toc460407056"/>
      <w:bookmarkStart w:id="116" w:name="_Toc460487959"/>
      <w:r w:rsidRPr="006C443A">
        <w:lastRenderedPageBreak/>
        <w:t>Summary of financial position</w:t>
      </w:r>
      <w:bookmarkEnd w:id="106"/>
      <w:bookmarkEnd w:id="107"/>
      <w:bookmarkEnd w:id="108"/>
      <w:bookmarkEnd w:id="109"/>
      <w:bookmarkEnd w:id="110"/>
      <w:bookmarkEnd w:id="111"/>
      <w:bookmarkEnd w:id="112"/>
      <w:bookmarkEnd w:id="113"/>
      <w:bookmarkEnd w:id="114"/>
      <w:bookmarkEnd w:id="115"/>
      <w:bookmarkEnd w:id="116"/>
    </w:p>
    <w:p w:rsidR="006C443A" w:rsidRPr="006C443A" w:rsidRDefault="006C443A" w:rsidP="006C443A">
      <w:r w:rsidRPr="006C443A">
        <w:t>The Office of the IGEM was in a positive financial position at the end of the financial year. The total equity/net assets of the Office of the IGEM at the end of 2015-16 was $1.114 million. This was comprised of:</w:t>
      </w:r>
    </w:p>
    <w:p w:rsidR="006C443A" w:rsidRPr="006C443A" w:rsidRDefault="006C443A" w:rsidP="006C443A">
      <w:pPr>
        <w:rPr>
          <w:b/>
        </w:rPr>
      </w:pPr>
      <w:r w:rsidRPr="006C443A">
        <w:rPr>
          <w:b/>
        </w:rPr>
        <w:t>Assets</w:t>
      </w:r>
    </w:p>
    <w:p w:rsidR="006C443A" w:rsidRPr="006C443A" w:rsidRDefault="006C443A" w:rsidP="006C443A">
      <w:pPr>
        <w:numPr>
          <w:ilvl w:val="0"/>
          <w:numId w:val="39"/>
        </w:numPr>
        <w:spacing w:before="0" w:after="0"/>
      </w:pPr>
      <w:r w:rsidRPr="006C443A">
        <w:t>cash and cash equivalents $1.407 million</w:t>
      </w:r>
    </w:p>
    <w:p w:rsidR="006C443A" w:rsidRPr="006C443A" w:rsidRDefault="006C443A" w:rsidP="006C443A">
      <w:pPr>
        <w:numPr>
          <w:ilvl w:val="0"/>
          <w:numId w:val="39"/>
        </w:numPr>
        <w:spacing w:before="0" w:after="0"/>
      </w:pPr>
      <w:r w:rsidRPr="006C443A">
        <w:t>receivables $0.053 million</w:t>
      </w:r>
    </w:p>
    <w:p w:rsidR="006C443A" w:rsidRPr="006C443A" w:rsidRDefault="006C443A" w:rsidP="006C443A">
      <w:pPr>
        <w:numPr>
          <w:ilvl w:val="0"/>
          <w:numId w:val="39"/>
        </w:numPr>
        <w:spacing w:before="0" w:after="0"/>
      </w:pPr>
      <w:r w:rsidRPr="006C443A">
        <w:t>pla</w:t>
      </w:r>
      <w:r w:rsidR="0024294A">
        <w:t>nt and equipment $0.016 million</w:t>
      </w:r>
    </w:p>
    <w:p w:rsidR="006C443A" w:rsidRPr="006C443A" w:rsidRDefault="006C443A" w:rsidP="006C443A">
      <w:pPr>
        <w:rPr>
          <w:b/>
        </w:rPr>
      </w:pPr>
      <w:r w:rsidRPr="006C443A">
        <w:rPr>
          <w:b/>
        </w:rPr>
        <w:t>Liabilities</w:t>
      </w:r>
    </w:p>
    <w:p w:rsidR="006C443A" w:rsidRPr="006C443A" w:rsidRDefault="006C443A" w:rsidP="006C443A">
      <w:pPr>
        <w:numPr>
          <w:ilvl w:val="0"/>
          <w:numId w:val="39"/>
        </w:numPr>
        <w:spacing w:before="0" w:after="0"/>
      </w:pPr>
      <w:r w:rsidRPr="006C443A">
        <w:t>payables $0.228 million</w:t>
      </w:r>
    </w:p>
    <w:p w:rsidR="006C443A" w:rsidRPr="006C443A" w:rsidRDefault="006C443A" w:rsidP="006C443A">
      <w:pPr>
        <w:numPr>
          <w:ilvl w:val="0"/>
          <w:numId w:val="39"/>
        </w:numPr>
        <w:spacing w:before="0" w:after="0"/>
      </w:pPr>
      <w:r w:rsidRPr="006C443A">
        <w:t>accrued employee benefits $0.134 million</w:t>
      </w:r>
    </w:p>
    <w:p w:rsidR="006C443A" w:rsidRPr="006C443A" w:rsidRDefault="006C443A" w:rsidP="006C443A">
      <w:r w:rsidRPr="006C443A">
        <w:t>There were no significant events after balance date that could be expected to impact the operating result for the Office of the IGEM for 2015-16.</w:t>
      </w:r>
    </w:p>
    <w:p w:rsidR="006C443A" w:rsidRPr="006C443A" w:rsidRDefault="006C443A" w:rsidP="006C443A"/>
    <w:p w:rsidR="00405941" w:rsidRPr="006C443A" w:rsidRDefault="00405941" w:rsidP="00091676">
      <w:pPr>
        <w:rPr>
          <w:rFonts w:eastAsia="Calibri"/>
          <w:szCs w:val="22"/>
        </w:rPr>
      </w:pPr>
    </w:p>
    <w:p w:rsidR="00405941" w:rsidRPr="00341581" w:rsidRDefault="00405941" w:rsidP="00091676">
      <w:r w:rsidRPr="00341581">
        <w:br w:type="page"/>
      </w:r>
    </w:p>
    <w:p w:rsidR="00405941" w:rsidRPr="00341581" w:rsidRDefault="00405941" w:rsidP="00D77F80">
      <w:pPr>
        <w:pStyle w:val="Heading1"/>
        <w:ind w:left="0" w:right="77"/>
      </w:pPr>
      <w:bookmarkStart w:id="117" w:name="_Toc441671808"/>
      <w:bookmarkStart w:id="118" w:name="_Toc441672096"/>
      <w:bookmarkStart w:id="119" w:name="_Toc442168883"/>
      <w:bookmarkStart w:id="120" w:name="_Toc442339179"/>
      <w:bookmarkStart w:id="121" w:name="_Toc460406678"/>
      <w:bookmarkStart w:id="122" w:name="_Toc460406828"/>
      <w:bookmarkStart w:id="123" w:name="_Toc460406864"/>
      <w:bookmarkStart w:id="124" w:name="_Toc460406943"/>
      <w:bookmarkStart w:id="125" w:name="_Toc460407057"/>
      <w:bookmarkStart w:id="126" w:name="_Toc460487960"/>
      <w:r w:rsidRPr="00341581">
        <w:lastRenderedPageBreak/>
        <w:t>P</w:t>
      </w:r>
      <w:r w:rsidR="00B2375C">
        <w:t>erformance</w:t>
      </w:r>
      <w:bookmarkEnd w:id="117"/>
      <w:bookmarkEnd w:id="118"/>
      <w:bookmarkEnd w:id="119"/>
      <w:bookmarkEnd w:id="120"/>
      <w:bookmarkEnd w:id="121"/>
      <w:bookmarkEnd w:id="122"/>
      <w:bookmarkEnd w:id="123"/>
      <w:bookmarkEnd w:id="124"/>
      <w:bookmarkEnd w:id="125"/>
      <w:bookmarkEnd w:id="126"/>
      <w:r w:rsidRPr="00341581">
        <w:t xml:space="preserve"> </w:t>
      </w:r>
    </w:p>
    <w:p w:rsidR="00405941" w:rsidRDefault="00405941" w:rsidP="00C60996">
      <w:pPr>
        <w:pStyle w:val="Heading2"/>
      </w:pPr>
      <w:bookmarkStart w:id="127" w:name="_Toc415049800"/>
      <w:bookmarkStart w:id="128" w:name="_Toc415050352"/>
      <w:bookmarkStart w:id="129" w:name="_Toc441671809"/>
      <w:bookmarkStart w:id="130" w:name="_Toc441672097"/>
      <w:bookmarkStart w:id="131" w:name="_Toc442168884"/>
      <w:bookmarkStart w:id="132" w:name="_Toc460406679"/>
      <w:bookmarkStart w:id="133" w:name="_Toc460406829"/>
      <w:bookmarkStart w:id="134" w:name="_Toc460406865"/>
      <w:bookmarkStart w:id="135" w:name="_Toc460406944"/>
      <w:bookmarkStart w:id="136" w:name="_Toc460407058"/>
      <w:bookmarkStart w:id="137" w:name="_Toc460487961"/>
      <w:r w:rsidRPr="00BD394B">
        <w:t>Key performance measures</w:t>
      </w:r>
      <w:bookmarkEnd w:id="127"/>
      <w:bookmarkEnd w:id="128"/>
      <w:bookmarkEnd w:id="129"/>
      <w:bookmarkEnd w:id="130"/>
      <w:bookmarkEnd w:id="131"/>
      <w:bookmarkEnd w:id="132"/>
      <w:bookmarkEnd w:id="133"/>
      <w:bookmarkEnd w:id="134"/>
      <w:bookmarkEnd w:id="135"/>
      <w:bookmarkEnd w:id="136"/>
      <w:bookmarkEnd w:id="137"/>
    </w:p>
    <w:p w:rsidR="00BD394B" w:rsidRPr="00F05259" w:rsidRDefault="00BD394B" w:rsidP="00BD394B">
      <w:pPr>
        <w:widowControl w:val="0"/>
      </w:pPr>
      <w:r w:rsidRPr="00F05259">
        <w:t xml:space="preserve">The </w:t>
      </w:r>
      <w:r w:rsidR="0083162A">
        <w:t>s</w:t>
      </w:r>
      <w:r w:rsidRPr="00F05259">
        <w:t xml:space="preserve">ervice </w:t>
      </w:r>
      <w:r w:rsidR="0083162A">
        <w:t>a</w:t>
      </w:r>
      <w:r w:rsidRPr="00F05259">
        <w:t xml:space="preserve">rea ‘Independent Assurance and Advice to Improve Emergency </w:t>
      </w:r>
      <w:r w:rsidRPr="00F05259">
        <w:rPr>
          <w:rFonts w:eastAsia="Arial"/>
        </w:rPr>
        <w:t>Management’</w:t>
      </w:r>
      <w:r w:rsidRPr="00F05259">
        <w:rPr>
          <w:spacing w:val="-35"/>
        </w:rPr>
        <w:t xml:space="preserve"> </w:t>
      </w:r>
      <w:r w:rsidRPr="00F05259">
        <w:t>provides</w:t>
      </w:r>
      <w:r w:rsidRPr="00F05259">
        <w:rPr>
          <w:spacing w:val="-1"/>
        </w:rPr>
        <w:t xml:space="preserve"> </w:t>
      </w:r>
      <w:r w:rsidRPr="00F05259">
        <w:t>independent assurance and advice that enables confidence in Queensland’s</w:t>
      </w:r>
      <w:r w:rsidRPr="00F05259">
        <w:rPr>
          <w:spacing w:val="-12"/>
        </w:rPr>
        <w:t xml:space="preserve"> </w:t>
      </w:r>
      <w:r w:rsidRPr="00F05259">
        <w:t>emergency management</w:t>
      </w:r>
      <w:r w:rsidRPr="00F05259">
        <w:rPr>
          <w:spacing w:val="-8"/>
        </w:rPr>
        <w:t xml:space="preserve"> </w:t>
      </w:r>
      <w:r w:rsidRPr="00F05259">
        <w:t>arrangements.</w:t>
      </w:r>
    </w:p>
    <w:p w:rsidR="00BD394B" w:rsidRPr="00F05259" w:rsidRDefault="00BD394B" w:rsidP="00BD394B">
      <w:pPr>
        <w:widowControl w:val="0"/>
      </w:pPr>
      <w:r w:rsidRPr="00F05259">
        <w:t>The Office of the IGEM provides independent assurance and advice about Queensland's</w:t>
      </w:r>
      <w:r w:rsidRPr="00F05259">
        <w:rPr>
          <w:spacing w:val="-36"/>
        </w:rPr>
        <w:t xml:space="preserve"> </w:t>
      </w:r>
      <w:r w:rsidRPr="00F05259">
        <w:rPr>
          <w:rFonts w:eastAsia="Arial"/>
        </w:rPr>
        <w:t>emergency</w:t>
      </w:r>
      <w:r w:rsidRPr="00F05259">
        <w:t xml:space="preserve"> management arrangements and authoritative reporting to enhance accountability and</w:t>
      </w:r>
      <w:r w:rsidRPr="00F05259">
        <w:rPr>
          <w:spacing w:val="-15"/>
        </w:rPr>
        <w:t xml:space="preserve"> </w:t>
      </w:r>
      <w:r w:rsidRPr="00F05259">
        <w:t>improve outcomes for the</w:t>
      </w:r>
      <w:r w:rsidRPr="00F05259">
        <w:rPr>
          <w:spacing w:val="-10"/>
        </w:rPr>
        <w:t xml:space="preserve"> </w:t>
      </w:r>
      <w:r w:rsidRPr="00F05259">
        <w:t>community.</w:t>
      </w:r>
    </w:p>
    <w:p w:rsidR="00BD394B" w:rsidRPr="00F05259" w:rsidRDefault="00BD394B" w:rsidP="00BD394B">
      <w:pPr>
        <w:widowControl w:val="0"/>
      </w:pPr>
      <w:r w:rsidRPr="00F05259">
        <w:t xml:space="preserve">The </w:t>
      </w:r>
      <w:r w:rsidRPr="00F05259">
        <w:rPr>
          <w:rFonts w:eastAsia="Arial"/>
        </w:rPr>
        <w:t>Office</w:t>
      </w:r>
      <w:r w:rsidRPr="00F05259">
        <w:t xml:space="preserve"> of the IGEM has established the Standard,</w:t>
      </w:r>
      <w:r w:rsidRPr="00F05259">
        <w:rPr>
          <w:spacing w:val="-1"/>
        </w:rPr>
        <w:t xml:space="preserve"> </w:t>
      </w:r>
      <w:r w:rsidRPr="00F05259">
        <w:t>which forms part of the Emergency Management Assurance Framework. The Office</w:t>
      </w:r>
      <w:r w:rsidRPr="00F05259">
        <w:rPr>
          <w:spacing w:val="-31"/>
        </w:rPr>
        <w:t xml:space="preserve"> </w:t>
      </w:r>
      <w:r w:rsidRPr="00F05259">
        <w:t>undertakes</w:t>
      </w:r>
      <w:r w:rsidRPr="00F05259">
        <w:rPr>
          <w:spacing w:val="-1"/>
        </w:rPr>
        <w:t xml:space="preserve"> </w:t>
      </w:r>
      <w:r w:rsidRPr="00F05259">
        <w:t>targeted reviews and system analysis to identify risks to emergency management</w:t>
      </w:r>
      <w:r w:rsidRPr="00F05259">
        <w:rPr>
          <w:spacing w:val="-24"/>
        </w:rPr>
        <w:t xml:space="preserve"> </w:t>
      </w:r>
      <w:r w:rsidRPr="00F05259">
        <w:t>planning,</w:t>
      </w:r>
      <w:r w:rsidRPr="00F05259">
        <w:rPr>
          <w:spacing w:val="-1"/>
        </w:rPr>
        <w:t xml:space="preserve"> </w:t>
      </w:r>
      <w:r w:rsidRPr="00F05259">
        <w:t>preparedness, response and recovery arrangements and recommends</w:t>
      </w:r>
      <w:r w:rsidRPr="00F05259">
        <w:rPr>
          <w:spacing w:val="-18"/>
        </w:rPr>
        <w:t xml:space="preserve"> </w:t>
      </w:r>
      <w:r w:rsidRPr="00F05259">
        <w:t>evidence-based</w:t>
      </w:r>
      <w:r w:rsidRPr="00F05259">
        <w:rPr>
          <w:spacing w:val="-1"/>
        </w:rPr>
        <w:t xml:space="preserve"> </w:t>
      </w:r>
      <w:r w:rsidRPr="00F05259">
        <w:t>improvements.</w:t>
      </w:r>
    </w:p>
    <w:p w:rsidR="00BD394B" w:rsidRPr="00F05259" w:rsidRDefault="00BD394B" w:rsidP="00BD394B">
      <w:pPr>
        <w:widowControl w:val="0"/>
      </w:pPr>
      <w:r w:rsidRPr="00F05259">
        <w:t>The table below provides an overview of the key performance measures for the Office of the IGEM for</w:t>
      </w:r>
      <w:r>
        <w:rPr>
          <w:spacing w:val="-7"/>
        </w:rPr>
        <w:t> </w:t>
      </w:r>
      <w:r w:rsidRPr="00F05259">
        <w:t>2015-16.</w:t>
      </w:r>
    </w:p>
    <w:tbl>
      <w:tblPr>
        <w:tblW w:w="10065" w:type="dxa"/>
        <w:tblInd w:w="136" w:type="dxa"/>
        <w:tblBorders>
          <w:top w:val="single" w:sz="4" w:space="0" w:color="A6A6A6" w:themeColor="text2" w:themeShade="A6"/>
          <w:left w:val="single" w:sz="4" w:space="0" w:color="A6A6A6" w:themeColor="text2" w:themeShade="A6"/>
          <w:bottom w:val="single" w:sz="4" w:space="0" w:color="A6A6A6" w:themeColor="text2" w:themeShade="A6"/>
          <w:right w:val="single" w:sz="4" w:space="0" w:color="A6A6A6" w:themeColor="text2" w:themeShade="A6"/>
          <w:insideH w:val="single" w:sz="4" w:space="0" w:color="A6A6A6" w:themeColor="text2" w:themeShade="A6"/>
          <w:insideV w:val="single" w:sz="4" w:space="0" w:color="A6A6A6" w:themeColor="text2" w:themeShade="A6"/>
        </w:tblBorders>
        <w:tblLayout w:type="fixed"/>
        <w:tblCellMar>
          <w:left w:w="0" w:type="dxa"/>
          <w:right w:w="0" w:type="dxa"/>
        </w:tblCellMar>
        <w:tblLook w:val="01E0" w:firstRow="1" w:lastRow="1" w:firstColumn="1" w:lastColumn="1" w:noHBand="0" w:noVBand="0"/>
      </w:tblPr>
      <w:tblGrid>
        <w:gridCol w:w="3545"/>
        <w:gridCol w:w="992"/>
        <w:gridCol w:w="709"/>
        <w:gridCol w:w="709"/>
        <w:gridCol w:w="1275"/>
        <w:gridCol w:w="1560"/>
        <w:gridCol w:w="1275"/>
      </w:tblGrid>
      <w:tr w:rsidR="00BD394B" w:rsidRPr="007E0853" w:rsidTr="002335C3">
        <w:trPr>
          <w:trHeight w:hRule="exact" w:val="500"/>
        </w:trPr>
        <w:tc>
          <w:tcPr>
            <w:tcW w:w="10065" w:type="dxa"/>
            <w:gridSpan w:val="7"/>
            <w:shd w:val="clear" w:color="auto" w:fill="AB054C"/>
          </w:tcPr>
          <w:p w:rsidR="00BD394B" w:rsidRPr="00951818" w:rsidRDefault="00BD394B" w:rsidP="0024294A">
            <w:pPr>
              <w:pStyle w:val="TableParagraph"/>
              <w:spacing w:before="120" w:after="120" w:line="248" w:lineRule="exact"/>
              <w:jc w:val="center"/>
              <w:rPr>
                <w:rFonts w:ascii="Arial"/>
                <w:b/>
                <w:color w:val="FFFFFF"/>
              </w:rPr>
            </w:pPr>
            <w:r w:rsidRPr="00951818">
              <w:rPr>
                <w:rFonts w:ascii="Arial"/>
                <w:b/>
                <w:color w:val="FFFFFF"/>
              </w:rPr>
              <w:t>Service Area: Independent Assurance and Advice to Improve Emergency Management</w:t>
            </w:r>
          </w:p>
        </w:tc>
      </w:tr>
      <w:tr w:rsidR="00BD394B" w:rsidRPr="007E0853" w:rsidTr="002335C3">
        <w:trPr>
          <w:trHeight w:hRule="exact" w:val="1198"/>
        </w:trPr>
        <w:tc>
          <w:tcPr>
            <w:tcW w:w="3545" w:type="dxa"/>
            <w:shd w:val="clear" w:color="auto" w:fill="AB054C"/>
          </w:tcPr>
          <w:p w:rsidR="00BD394B" w:rsidRPr="00951818" w:rsidRDefault="00BD394B" w:rsidP="004D284F">
            <w:pPr>
              <w:pStyle w:val="TableParagraph"/>
              <w:spacing w:line="248" w:lineRule="exact"/>
              <w:ind w:left="103"/>
              <w:rPr>
                <w:rFonts w:ascii="Arial" w:eastAsia="Arial" w:hAnsi="Arial" w:cs="Arial"/>
                <w:color w:val="FFFFFF"/>
              </w:rPr>
            </w:pPr>
            <w:r>
              <w:rPr>
                <w:rFonts w:ascii="Arial"/>
                <w:b/>
                <w:color w:val="FFFFFF"/>
              </w:rPr>
              <w:t>Service standards</w:t>
            </w:r>
          </w:p>
        </w:tc>
        <w:tc>
          <w:tcPr>
            <w:tcW w:w="992" w:type="dxa"/>
            <w:shd w:val="clear" w:color="auto" w:fill="AB054C"/>
          </w:tcPr>
          <w:p w:rsidR="00BD394B" w:rsidRPr="00951818" w:rsidRDefault="00BD394B" w:rsidP="004D284F">
            <w:pPr>
              <w:pStyle w:val="TableParagraph"/>
              <w:spacing w:line="248" w:lineRule="exact"/>
              <w:ind w:left="103"/>
              <w:rPr>
                <w:rFonts w:ascii="Arial" w:eastAsia="Arial" w:hAnsi="Arial" w:cs="Arial"/>
                <w:color w:val="FFFFFF"/>
              </w:rPr>
            </w:pPr>
            <w:r w:rsidRPr="00951818">
              <w:rPr>
                <w:rFonts w:ascii="Arial"/>
                <w:b/>
                <w:color w:val="FFFFFF"/>
              </w:rPr>
              <w:t>Notes</w:t>
            </w:r>
          </w:p>
        </w:tc>
        <w:tc>
          <w:tcPr>
            <w:tcW w:w="709" w:type="dxa"/>
            <w:shd w:val="clear" w:color="auto" w:fill="AB054C"/>
            <w:textDirection w:val="btLr"/>
          </w:tcPr>
          <w:p w:rsidR="00BD394B" w:rsidRDefault="004D284F" w:rsidP="004D284F">
            <w:pPr>
              <w:pStyle w:val="TableParagraph"/>
              <w:spacing w:line="247" w:lineRule="auto"/>
              <w:ind w:left="359" w:right="120" w:hanging="238"/>
              <w:jc w:val="center"/>
              <w:rPr>
                <w:rFonts w:ascii="Arial"/>
                <w:b/>
                <w:color w:val="FFFFFF"/>
              </w:rPr>
            </w:pPr>
            <w:r>
              <w:rPr>
                <w:rFonts w:ascii="Arial"/>
                <w:b/>
                <w:color w:val="FFFFFF"/>
              </w:rPr>
              <w:t>Strategic</w:t>
            </w:r>
          </w:p>
          <w:p w:rsidR="004D284F" w:rsidRPr="00951818" w:rsidRDefault="004D284F" w:rsidP="004D284F">
            <w:pPr>
              <w:pStyle w:val="TableParagraph"/>
              <w:spacing w:line="247" w:lineRule="auto"/>
              <w:ind w:left="359" w:right="120" w:hanging="238"/>
              <w:jc w:val="center"/>
              <w:rPr>
                <w:rFonts w:ascii="Arial" w:eastAsia="Arial" w:hAnsi="Arial" w:cs="Arial"/>
                <w:color w:val="FFFFFF"/>
              </w:rPr>
            </w:pPr>
            <w:r>
              <w:rPr>
                <w:rFonts w:ascii="Arial"/>
                <w:b/>
                <w:color w:val="FFFFFF"/>
              </w:rPr>
              <w:t>Plan</w:t>
            </w:r>
          </w:p>
        </w:tc>
        <w:tc>
          <w:tcPr>
            <w:tcW w:w="709" w:type="dxa"/>
            <w:shd w:val="clear" w:color="auto" w:fill="AB054C"/>
            <w:textDirection w:val="btLr"/>
          </w:tcPr>
          <w:p w:rsidR="00BD394B" w:rsidRPr="00951818" w:rsidRDefault="00BD394B" w:rsidP="004D284F">
            <w:pPr>
              <w:pStyle w:val="TableParagraph"/>
              <w:jc w:val="center"/>
              <w:rPr>
                <w:rFonts w:ascii="Arial" w:eastAsia="Arial" w:hAnsi="Arial" w:cs="Arial"/>
                <w:color w:val="FFFFFF"/>
              </w:rPr>
            </w:pPr>
            <w:r w:rsidRPr="00951818">
              <w:rPr>
                <w:rFonts w:ascii="Arial"/>
                <w:b/>
                <w:color w:val="FFFFFF"/>
              </w:rPr>
              <w:t>2015-16</w:t>
            </w:r>
          </w:p>
          <w:p w:rsidR="00BD394B" w:rsidRPr="00951818" w:rsidRDefault="00BD394B" w:rsidP="004D284F">
            <w:pPr>
              <w:pStyle w:val="TableParagraph"/>
              <w:jc w:val="center"/>
              <w:rPr>
                <w:rFonts w:ascii="Arial" w:eastAsia="Arial" w:hAnsi="Arial" w:cs="Arial"/>
                <w:color w:val="FFFFFF"/>
              </w:rPr>
            </w:pPr>
            <w:r w:rsidRPr="00951818">
              <w:rPr>
                <w:rFonts w:ascii="Arial"/>
                <w:b/>
                <w:color w:val="FFFFFF"/>
              </w:rPr>
              <w:t>SDS</w:t>
            </w:r>
          </w:p>
        </w:tc>
        <w:tc>
          <w:tcPr>
            <w:tcW w:w="1275" w:type="dxa"/>
            <w:shd w:val="clear" w:color="auto" w:fill="AB054C"/>
          </w:tcPr>
          <w:p w:rsidR="00BD394B" w:rsidRPr="00951818" w:rsidRDefault="00BD394B" w:rsidP="004D284F">
            <w:pPr>
              <w:pStyle w:val="TableParagraph"/>
              <w:spacing w:line="248" w:lineRule="exact"/>
              <w:ind w:left="227"/>
              <w:rPr>
                <w:rFonts w:ascii="Arial" w:eastAsia="Arial" w:hAnsi="Arial" w:cs="Arial"/>
                <w:color w:val="FFFFFF"/>
              </w:rPr>
            </w:pPr>
            <w:r w:rsidRPr="00951818">
              <w:rPr>
                <w:rFonts w:ascii="Arial"/>
                <w:b/>
                <w:color w:val="FFFFFF"/>
              </w:rPr>
              <w:t>2014-15</w:t>
            </w:r>
          </w:p>
          <w:p w:rsidR="00BD394B" w:rsidRPr="00951818" w:rsidRDefault="00BD394B" w:rsidP="004D284F">
            <w:pPr>
              <w:pStyle w:val="TableParagraph"/>
              <w:spacing w:line="248" w:lineRule="exact"/>
              <w:ind w:left="302"/>
              <w:rPr>
                <w:rFonts w:ascii="Arial"/>
                <w:b/>
                <w:color w:val="FFFFFF"/>
              </w:rPr>
            </w:pPr>
            <w:r w:rsidRPr="00951818">
              <w:rPr>
                <w:rFonts w:ascii="Arial"/>
                <w:b/>
                <w:color w:val="FFFFFF"/>
              </w:rPr>
              <w:t>Actual</w:t>
            </w:r>
          </w:p>
        </w:tc>
        <w:tc>
          <w:tcPr>
            <w:tcW w:w="1560" w:type="dxa"/>
            <w:shd w:val="clear" w:color="auto" w:fill="AB054C"/>
          </w:tcPr>
          <w:p w:rsidR="00BD394B" w:rsidRPr="00951818" w:rsidRDefault="00BD394B" w:rsidP="004D284F">
            <w:pPr>
              <w:pStyle w:val="TableParagraph"/>
              <w:spacing w:line="248" w:lineRule="exact"/>
              <w:ind w:left="302"/>
              <w:rPr>
                <w:rFonts w:ascii="Arial" w:eastAsia="Arial" w:hAnsi="Arial" w:cs="Arial"/>
                <w:color w:val="FFFFFF"/>
              </w:rPr>
            </w:pPr>
            <w:r w:rsidRPr="00951818">
              <w:rPr>
                <w:rFonts w:ascii="Arial"/>
                <w:b/>
                <w:color w:val="FFFFFF"/>
              </w:rPr>
              <w:t>2015-16</w:t>
            </w:r>
          </w:p>
          <w:p w:rsidR="00BD394B" w:rsidRPr="00951818" w:rsidRDefault="00BD394B" w:rsidP="004D284F">
            <w:pPr>
              <w:pStyle w:val="TableParagraph"/>
              <w:ind w:left="247" w:right="239" w:firstLine="91"/>
              <w:rPr>
                <w:rFonts w:ascii="Arial" w:eastAsia="Arial" w:hAnsi="Arial" w:cs="Arial"/>
                <w:color w:val="FFFFFF"/>
              </w:rPr>
            </w:pPr>
            <w:r w:rsidRPr="00951818">
              <w:rPr>
                <w:rFonts w:ascii="Arial"/>
                <w:b/>
                <w:color w:val="FFFFFF"/>
              </w:rPr>
              <w:t>Target/ Estimate</w:t>
            </w:r>
          </w:p>
        </w:tc>
        <w:tc>
          <w:tcPr>
            <w:tcW w:w="1275" w:type="dxa"/>
            <w:shd w:val="clear" w:color="auto" w:fill="AB054C"/>
          </w:tcPr>
          <w:p w:rsidR="0024294A" w:rsidRDefault="00BD394B" w:rsidP="004D284F">
            <w:pPr>
              <w:pStyle w:val="TableParagraph"/>
              <w:ind w:left="295"/>
              <w:rPr>
                <w:rFonts w:ascii="Arial" w:eastAsia="Arial" w:hAnsi="Arial" w:cs="Arial"/>
                <w:b/>
                <w:color w:val="FFFFFF"/>
              </w:rPr>
            </w:pPr>
            <w:r w:rsidRPr="00951818">
              <w:rPr>
                <w:rFonts w:ascii="Arial" w:eastAsia="Arial" w:hAnsi="Arial" w:cs="Arial"/>
                <w:b/>
                <w:color w:val="FFFFFF"/>
              </w:rPr>
              <w:t>2015-16</w:t>
            </w:r>
          </w:p>
          <w:p w:rsidR="00BD394B" w:rsidRPr="00951818" w:rsidRDefault="00BD394B" w:rsidP="004D284F">
            <w:pPr>
              <w:pStyle w:val="TableParagraph"/>
              <w:ind w:left="295"/>
              <w:rPr>
                <w:rFonts w:ascii="Arial" w:eastAsia="Arial" w:hAnsi="Arial" w:cs="Arial"/>
                <w:b/>
                <w:color w:val="FFFFFF"/>
              </w:rPr>
            </w:pPr>
            <w:r w:rsidRPr="00951818">
              <w:rPr>
                <w:rFonts w:ascii="Arial" w:eastAsia="Arial" w:hAnsi="Arial" w:cs="Arial"/>
                <w:b/>
                <w:color w:val="FFFFFF"/>
              </w:rPr>
              <w:t>Actual</w:t>
            </w:r>
          </w:p>
        </w:tc>
      </w:tr>
      <w:tr w:rsidR="00BD394B" w:rsidRPr="007E0853" w:rsidTr="00C76FE5">
        <w:trPr>
          <w:trHeight w:hRule="exact" w:val="546"/>
        </w:trPr>
        <w:tc>
          <w:tcPr>
            <w:tcW w:w="3545" w:type="dxa"/>
          </w:tcPr>
          <w:p w:rsidR="00BD394B" w:rsidRPr="007E0853" w:rsidRDefault="00BD394B" w:rsidP="000420D0">
            <w:pPr>
              <w:pStyle w:val="TableParagraph"/>
              <w:spacing w:before="120" w:after="120" w:line="251" w:lineRule="exact"/>
              <w:ind w:left="103"/>
              <w:rPr>
                <w:rFonts w:ascii="Arial" w:eastAsia="Arial" w:hAnsi="Arial" w:cs="Arial"/>
              </w:rPr>
            </w:pPr>
            <w:r w:rsidRPr="007E0853">
              <w:rPr>
                <w:rFonts w:ascii="Arial"/>
              </w:rPr>
              <w:t>Customer</w:t>
            </w:r>
            <w:r w:rsidRPr="007E0853">
              <w:rPr>
                <w:rFonts w:ascii="Arial"/>
                <w:spacing w:val="-7"/>
              </w:rPr>
              <w:t xml:space="preserve"> </w:t>
            </w:r>
            <w:r w:rsidRPr="007E0853">
              <w:rPr>
                <w:rFonts w:ascii="Arial"/>
              </w:rPr>
              <w:t>satisfaction</w:t>
            </w:r>
          </w:p>
        </w:tc>
        <w:tc>
          <w:tcPr>
            <w:tcW w:w="992" w:type="dxa"/>
          </w:tcPr>
          <w:p w:rsidR="00BD394B" w:rsidRPr="007E0853" w:rsidRDefault="00BD394B" w:rsidP="004D284F">
            <w:pPr>
              <w:pStyle w:val="TableParagraph"/>
              <w:spacing w:before="120" w:after="120" w:line="251" w:lineRule="exact"/>
              <w:ind w:left="103"/>
              <w:jc w:val="center"/>
              <w:rPr>
                <w:rFonts w:ascii="Arial" w:eastAsia="Arial" w:hAnsi="Arial" w:cs="Arial"/>
              </w:rPr>
            </w:pPr>
            <w:r w:rsidRPr="007E0853">
              <w:rPr>
                <w:rFonts w:ascii="Arial"/>
              </w:rPr>
              <w:t>1</w:t>
            </w:r>
          </w:p>
        </w:tc>
        <w:tc>
          <w:tcPr>
            <w:tcW w:w="709" w:type="dxa"/>
          </w:tcPr>
          <w:p w:rsidR="00BD394B" w:rsidRPr="007E0853" w:rsidRDefault="00BD394B" w:rsidP="000420D0">
            <w:pPr>
              <w:pStyle w:val="TableParagraph"/>
              <w:spacing w:before="120" w:after="120" w:line="243" w:lineRule="exact"/>
              <w:ind w:right="1"/>
              <w:jc w:val="center"/>
              <w:rPr>
                <w:rFonts w:ascii="Wingdings" w:eastAsia="Wingdings" w:hAnsi="Wingdings" w:cs="Wingdings"/>
              </w:rPr>
            </w:pPr>
            <w:r w:rsidRPr="007E0853">
              <w:rPr>
                <w:rFonts w:ascii="Wingdings" w:eastAsia="Wingdings" w:hAnsi="Wingdings" w:cs="Wingdings"/>
              </w:rPr>
              <w:t></w:t>
            </w:r>
          </w:p>
        </w:tc>
        <w:tc>
          <w:tcPr>
            <w:tcW w:w="709" w:type="dxa"/>
          </w:tcPr>
          <w:p w:rsidR="00BD394B" w:rsidRPr="007E0853" w:rsidRDefault="00BD394B" w:rsidP="000420D0">
            <w:pPr>
              <w:pStyle w:val="TableParagraph"/>
              <w:spacing w:before="120" w:after="120" w:line="243" w:lineRule="exact"/>
              <w:ind w:right="1"/>
              <w:jc w:val="center"/>
              <w:rPr>
                <w:rFonts w:ascii="Wingdings" w:eastAsia="Wingdings" w:hAnsi="Wingdings" w:cs="Wingdings"/>
              </w:rPr>
            </w:pPr>
            <w:r w:rsidRPr="007E0853">
              <w:rPr>
                <w:rFonts w:ascii="Wingdings" w:eastAsia="Wingdings" w:hAnsi="Wingdings" w:cs="Wingdings"/>
              </w:rPr>
              <w:t></w:t>
            </w:r>
          </w:p>
        </w:tc>
        <w:tc>
          <w:tcPr>
            <w:tcW w:w="1275" w:type="dxa"/>
            <w:shd w:val="clear" w:color="auto" w:fill="auto"/>
          </w:tcPr>
          <w:p w:rsidR="00BD394B" w:rsidRPr="00C76FE5" w:rsidRDefault="00BD394B" w:rsidP="000420D0">
            <w:pPr>
              <w:pStyle w:val="TableParagraph"/>
              <w:spacing w:before="120" w:after="120" w:line="251" w:lineRule="exact"/>
              <w:ind w:left="6"/>
              <w:jc w:val="center"/>
              <w:rPr>
                <w:rFonts w:ascii="Arial"/>
              </w:rPr>
            </w:pPr>
            <w:r w:rsidRPr="00C76FE5">
              <w:rPr>
                <w:rFonts w:ascii="Arial"/>
              </w:rPr>
              <w:t>87.8%</w:t>
            </w:r>
          </w:p>
        </w:tc>
        <w:tc>
          <w:tcPr>
            <w:tcW w:w="1560" w:type="dxa"/>
            <w:shd w:val="clear" w:color="auto" w:fill="FEDADD"/>
          </w:tcPr>
          <w:p w:rsidR="00BD394B" w:rsidRPr="007E0853" w:rsidRDefault="00BD394B" w:rsidP="00B8361D">
            <w:pPr>
              <w:widowControl w:val="0"/>
              <w:ind w:right="-22"/>
              <w:jc w:val="center"/>
              <w:rPr>
                <w:rFonts w:eastAsia="Arial"/>
              </w:rPr>
            </w:pPr>
            <w:r w:rsidRPr="00B8361D">
              <w:rPr>
                <w:rFonts w:eastAsia="Arial"/>
              </w:rPr>
              <w:t>80</w:t>
            </w:r>
            <w:r w:rsidR="004D284F" w:rsidRPr="00B8361D">
              <w:rPr>
                <w:rFonts w:eastAsia="Arial"/>
              </w:rPr>
              <w:t>.0</w:t>
            </w:r>
            <w:r w:rsidRPr="00B8361D">
              <w:rPr>
                <w:rFonts w:eastAsia="Arial"/>
              </w:rPr>
              <w:t>%</w:t>
            </w:r>
          </w:p>
        </w:tc>
        <w:tc>
          <w:tcPr>
            <w:tcW w:w="1275" w:type="dxa"/>
            <w:shd w:val="clear" w:color="auto" w:fill="FEDADD"/>
          </w:tcPr>
          <w:p w:rsidR="00BD394B" w:rsidRPr="007E0853" w:rsidRDefault="00BD394B" w:rsidP="000420D0">
            <w:pPr>
              <w:pStyle w:val="TableParagraph"/>
              <w:spacing w:before="120" w:after="120" w:line="251" w:lineRule="exact"/>
              <w:ind w:left="319"/>
              <w:rPr>
                <w:rFonts w:ascii="Arial" w:eastAsia="Arial" w:hAnsi="Arial" w:cs="Arial"/>
              </w:rPr>
            </w:pPr>
            <w:r>
              <w:rPr>
                <w:rFonts w:ascii="Arial" w:eastAsia="Arial" w:hAnsi="Arial" w:cs="Arial"/>
              </w:rPr>
              <w:t>83</w:t>
            </w:r>
            <w:r w:rsidR="004D284F">
              <w:rPr>
                <w:rFonts w:ascii="Arial" w:eastAsia="Arial" w:hAnsi="Arial" w:cs="Arial"/>
              </w:rPr>
              <w:t>.0</w:t>
            </w:r>
            <w:r>
              <w:rPr>
                <w:rFonts w:ascii="Arial" w:eastAsia="Arial" w:hAnsi="Arial" w:cs="Arial"/>
              </w:rPr>
              <w:t>%</w:t>
            </w:r>
          </w:p>
        </w:tc>
      </w:tr>
      <w:tr w:rsidR="00BD394B" w:rsidTr="00C76FE5">
        <w:trPr>
          <w:trHeight w:hRule="exact" w:val="993"/>
        </w:trPr>
        <w:tc>
          <w:tcPr>
            <w:tcW w:w="3545" w:type="dxa"/>
          </w:tcPr>
          <w:p w:rsidR="00BD394B" w:rsidRPr="007E0853" w:rsidRDefault="00BD394B" w:rsidP="000420D0">
            <w:pPr>
              <w:pStyle w:val="TableParagraph"/>
              <w:spacing w:before="120" w:after="120"/>
              <w:ind w:left="103" w:right="331"/>
              <w:rPr>
                <w:rFonts w:ascii="Arial" w:eastAsia="Arial" w:hAnsi="Arial" w:cs="Arial"/>
              </w:rPr>
            </w:pPr>
            <w:r w:rsidRPr="007E0853">
              <w:rPr>
                <w:rFonts w:ascii="Arial"/>
              </w:rPr>
              <w:t>Proportion of recommendations agreed</w:t>
            </w:r>
            <w:r w:rsidRPr="007E0853">
              <w:rPr>
                <w:rFonts w:ascii="Arial"/>
                <w:spacing w:val="-13"/>
              </w:rPr>
              <w:t xml:space="preserve"> </w:t>
            </w:r>
            <w:r w:rsidRPr="007E0853">
              <w:rPr>
                <w:rFonts w:ascii="Arial"/>
              </w:rPr>
              <w:t>to by entities to which the</w:t>
            </w:r>
            <w:r w:rsidRPr="007E0853">
              <w:rPr>
                <w:rFonts w:ascii="Arial"/>
                <w:spacing w:val="-13"/>
              </w:rPr>
              <w:t xml:space="preserve"> </w:t>
            </w:r>
            <w:r w:rsidRPr="007E0853">
              <w:rPr>
                <w:rFonts w:ascii="Arial"/>
              </w:rPr>
              <w:t>recommendations</w:t>
            </w:r>
            <w:r w:rsidRPr="007E0853">
              <w:rPr>
                <w:rFonts w:ascii="Arial"/>
                <w:spacing w:val="-1"/>
              </w:rPr>
              <w:t xml:space="preserve"> </w:t>
            </w:r>
            <w:r w:rsidRPr="007E0853">
              <w:rPr>
                <w:rFonts w:ascii="Arial"/>
              </w:rPr>
              <w:t>apply</w:t>
            </w:r>
          </w:p>
        </w:tc>
        <w:tc>
          <w:tcPr>
            <w:tcW w:w="992" w:type="dxa"/>
          </w:tcPr>
          <w:p w:rsidR="00BD394B" w:rsidRPr="007E0853" w:rsidRDefault="00BD394B" w:rsidP="004D284F">
            <w:pPr>
              <w:pStyle w:val="TableParagraph"/>
              <w:spacing w:before="120" w:after="120" w:line="251" w:lineRule="exact"/>
              <w:ind w:left="103"/>
              <w:jc w:val="center"/>
              <w:rPr>
                <w:rFonts w:ascii="Arial" w:eastAsia="Arial" w:hAnsi="Arial" w:cs="Arial"/>
              </w:rPr>
            </w:pPr>
            <w:r w:rsidRPr="007E0853">
              <w:rPr>
                <w:rFonts w:ascii="Arial"/>
              </w:rPr>
              <w:t>2</w:t>
            </w:r>
          </w:p>
        </w:tc>
        <w:tc>
          <w:tcPr>
            <w:tcW w:w="709" w:type="dxa"/>
          </w:tcPr>
          <w:p w:rsidR="00BD394B" w:rsidRPr="007E0853" w:rsidRDefault="00BD394B" w:rsidP="000420D0">
            <w:pPr>
              <w:pStyle w:val="TableParagraph"/>
              <w:spacing w:before="120" w:after="120" w:line="243" w:lineRule="exact"/>
              <w:ind w:right="1"/>
              <w:jc w:val="center"/>
              <w:rPr>
                <w:rFonts w:ascii="Wingdings" w:eastAsia="Wingdings" w:hAnsi="Wingdings" w:cs="Wingdings"/>
              </w:rPr>
            </w:pPr>
            <w:r w:rsidRPr="007E0853">
              <w:rPr>
                <w:rFonts w:ascii="Wingdings" w:eastAsia="Wingdings" w:hAnsi="Wingdings" w:cs="Wingdings"/>
              </w:rPr>
              <w:t></w:t>
            </w:r>
          </w:p>
        </w:tc>
        <w:tc>
          <w:tcPr>
            <w:tcW w:w="709" w:type="dxa"/>
          </w:tcPr>
          <w:p w:rsidR="00BD394B" w:rsidRPr="007E0853" w:rsidRDefault="00BD394B" w:rsidP="000420D0">
            <w:pPr>
              <w:pStyle w:val="TableParagraph"/>
              <w:spacing w:before="120" w:after="120" w:line="243" w:lineRule="exact"/>
              <w:ind w:right="1"/>
              <w:jc w:val="center"/>
              <w:rPr>
                <w:rFonts w:ascii="Wingdings" w:eastAsia="Wingdings" w:hAnsi="Wingdings" w:cs="Wingdings"/>
              </w:rPr>
            </w:pPr>
            <w:r w:rsidRPr="007E0853">
              <w:rPr>
                <w:rFonts w:ascii="Wingdings" w:eastAsia="Wingdings" w:hAnsi="Wingdings" w:cs="Wingdings"/>
              </w:rPr>
              <w:t></w:t>
            </w:r>
          </w:p>
        </w:tc>
        <w:tc>
          <w:tcPr>
            <w:tcW w:w="1275" w:type="dxa"/>
            <w:shd w:val="clear" w:color="auto" w:fill="auto"/>
          </w:tcPr>
          <w:p w:rsidR="00BD394B" w:rsidRPr="00C76FE5" w:rsidRDefault="00BD394B" w:rsidP="000420D0">
            <w:pPr>
              <w:pStyle w:val="TableParagraph"/>
              <w:spacing w:before="120" w:after="120" w:line="251" w:lineRule="exact"/>
              <w:ind w:left="6"/>
              <w:jc w:val="center"/>
              <w:rPr>
                <w:rFonts w:ascii="Arial"/>
              </w:rPr>
            </w:pPr>
            <w:r w:rsidRPr="00C76FE5">
              <w:rPr>
                <w:rFonts w:ascii="Arial"/>
              </w:rPr>
              <w:t>98.3%</w:t>
            </w:r>
          </w:p>
        </w:tc>
        <w:tc>
          <w:tcPr>
            <w:tcW w:w="1560" w:type="dxa"/>
            <w:shd w:val="clear" w:color="auto" w:fill="FEDADD"/>
          </w:tcPr>
          <w:p w:rsidR="00BD394B" w:rsidRPr="007E0853" w:rsidRDefault="00BD394B" w:rsidP="000420D0">
            <w:pPr>
              <w:pStyle w:val="TableParagraph"/>
              <w:spacing w:before="120" w:after="120" w:line="251" w:lineRule="exact"/>
              <w:ind w:left="6"/>
              <w:jc w:val="center"/>
              <w:rPr>
                <w:rFonts w:ascii="Arial" w:eastAsia="Arial" w:hAnsi="Arial" w:cs="Arial"/>
              </w:rPr>
            </w:pPr>
            <w:r w:rsidRPr="007E0853">
              <w:rPr>
                <w:rFonts w:ascii="Arial"/>
              </w:rPr>
              <w:t>80</w:t>
            </w:r>
            <w:r w:rsidR="004D284F">
              <w:rPr>
                <w:rFonts w:ascii="Arial"/>
              </w:rPr>
              <w:t>.0</w:t>
            </w:r>
            <w:r w:rsidRPr="007E0853">
              <w:rPr>
                <w:rFonts w:ascii="Arial"/>
              </w:rPr>
              <w:t>%</w:t>
            </w:r>
          </w:p>
        </w:tc>
        <w:tc>
          <w:tcPr>
            <w:tcW w:w="1275" w:type="dxa"/>
            <w:shd w:val="clear" w:color="auto" w:fill="FEDADD"/>
          </w:tcPr>
          <w:p w:rsidR="00BD394B" w:rsidRPr="007E0853" w:rsidRDefault="00841428" w:rsidP="000420D0">
            <w:pPr>
              <w:pStyle w:val="TableParagraph"/>
              <w:spacing w:before="120" w:after="120" w:line="251" w:lineRule="exact"/>
              <w:ind w:left="319"/>
              <w:rPr>
                <w:rFonts w:ascii="Arial" w:eastAsia="Arial" w:hAnsi="Arial" w:cs="Arial"/>
              </w:rPr>
            </w:pPr>
            <w:r>
              <w:rPr>
                <w:rFonts w:ascii="Arial" w:eastAsia="Arial" w:hAnsi="Arial" w:cs="Arial"/>
              </w:rPr>
              <w:t>100.0%</w:t>
            </w:r>
          </w:p>
        </w:tc>
      </w:tr>
    </w:tbl>
    <w:p w:rsidR="00BD394B" w:rsidRPr="00841428" w:rsidRDefault="00BD394B" w:rsidP="0083162A">
      <w:pPr>
        <w:pStyle w:val="BodyText"/>
        <w:spacing w:line="252" w:lineRule="exact"/>
        <w:ind w:left="112" w:right="223"/>
        <w:rPr>
          <w:szCs w:val="22"/>
        </w:rPr>
      </w:pPr>
      <w:r w:rsidRPr="00841428">
        <w:rPr>
          <w:szCs w:val="22"/>
        </w:rPr>
        <w:t>Notes:</w:t>
      </w:r>
    </w:p>
    <w:p w:rsidR="00F36F81" w:rsidRPr="00841428" w:rsidRDefault="00BD394B" w:rsidP="0083162A">
      <w:pPr>
        <w:pStyle w:val="ListParagraph"/>
        <w:widowControl w:val="0"/>
        <w:numPr>
          <w:ilvl w:val="0"/>
          <w:numId w:val="37"/>
        </w:numPr>
        <w:tabs>
          <w:tab w:val="left" w:pos="541"/>
        </w:tabs>
        <w:contextualSpacing w:val="0"/>
        <w:rPr>
          <w:rFonts w:eastAsia="Arial"/>
          <w:szCs w:val="22"/>
        </w:rPr>
      </w:pPr>
      <w:r w:rsidRPr="00841428">
        <w:rPr>
          <w:rFonts w:eastAsia="Arial"/>
          <w:szCs w:val="22"/>
        </w:rPr>
        <w:t>This service standard is measured as part of an annual survey conducted for</w:t>
      </w:r>
      <w:r w:rsidRPr="00841428">
        <w:rPr>
          <w:rFonts w:eastAsia="Arial"/>
          <w:spacing w:val="-25"/>
          <w:szCs w:val="22"/>
        </w:rPr>
        <w:t xml:space="preserve"> </w:t>
      </w:r>
      <w:r w:rsidRPr="00841428">
        <w:rPr>
          <w:rFonts w:eastAsia="Arial"/>
          <w:szCs w:val="22"/>
        </w:rPr>
        <w:t>the</w:t>
      </w:r>
      <w:r w:rsidRPr="00841428">
        <w:rPr>
          <w:rFonts w:eastAsia="Arial"/>
          <w:spacing w:val="-1"/>
          <w:szCs w:val="22"/>
        </w:rPr>
        <w:t xml:space="preserve"> </w:t>
      </w:r>
      <w:r w:rsidRPr="00841428">
        <w:rPr>
          <w:rFonts w:eastAsia="Arial"/>
          <w:szCs w:val="22"/>
        </w:rPr>
        <w:t>first time in 2014-15. Customers include state and local government stakeholders with a role</w:t>
      </w:r>
      <w:r w:rsidRPr="00841428">
        <w:rPr>
          <w:rFonts w:eastAsia="Arial"/>
          <w:spacing w:val="-31"/>
          <w:szCs w:val="22"/>
        </w:rPr>
        <w:t xml:space="preserve"> </w:t>
      </w:r>
      <w:r w:rsidRPr="00841428">
        <w:rPr>
          <w:rFonts w:eastAsia="Arial"/>
          <w:szCs w:val="22"/>
        </w:rPr>
        <w:t>in disaster and emergency management. This service standard measures overall satisfaction</w:t>
      </w:r>
      <w:r w:rsidRPr="00841428">
        <w:rPr>
          <w:rFonts w:eastAsia="Arial"/>
          <w:spacing w:val="-31"/>
          <w:szCs w:val="22"/>
        </w:rPr>
        <w:t xml:space="preserve"> </w:t>
      </w:r>
      <w:r w:rsidRPr="00841428">
        <w:rPr>
          <w:rFonts w:eastAsia="Arial"/>
          <w:szCs w:val="22"/>
        </w:rPr>
        <w:t>with the Office of the IGEM. Overall satisfaction is measured in terms of satisfaction with aspects</w:t>
      </w:r>
      <w:r w:rsidRPr="00841428">
        <w:rPr>
          <w:rFonts w:eastAsia="Arial"/>
          <w:spacing w:val="-28"/>
          <w:szCs w:val="22"/>
        </w:rPr>
        <w:t xml:space="preserve"> </w:t>
      </w:r>
      <w:r w:rsidRPr="00841428">
        <w:rPr>
          <w:rFonts w:eastAsia="Arial"/>
          <w:szCs w:val="22"/>
        </w:rPr>
        <w:t>of staff performance, timeliness, accessibility, quality, advice given and services provided.</w:t>
      </w:r>
      <w:r w:rsidRPr="00841428">
        <w:rPr>
          <w:rFonts w:eastAsia="Arial"/>
          <w:spacing w:val="51"/>
          <w:szCs w:val="22"/>
        </w:rPr>
        <w:t xml:space="preserve"> </w:t>
      </w:r>
      <w:r w:rsidRPr="00841428">
        <w:rPr>
          <w:rFonts w:eastAsia="Arial"/>
          <w:szCs w:val="22"/>
        </w:rPr>
        <w:t>It measures the number of respondents who indicated they were either ‘very satisfied’ or</w:t>
      </w:r>
      <w:r w:rsidRPr="00841428">
        <w:rPr>
          <w:rFonts w:eastAsia="Arial"/>
          <w:spacing w:val="-35"/>
          <w:szCs w:val="22"/>
        </w:rPr>
        <w:t xml:space="preserve"> </w:t>
      </w:r>
      <w:r w:rsidRPr="00841428">
        <w:rPr>
          <w:rFonts w:eastAsia="Arial"/>
          <w:szCs w:val="22"/>
        </w:rPr>
        <w:t>‘satisfied’</w:t>
      </w:r>
      <w:r w:rsidRPr="00841428">
        <w:rPr>
          <w:rFonts w:eastAsia="Arial"/>
          <w:spacing w:val="-1"/>
          <w:szCs w:val="22"/>
        </w:rPr>
        <w:t xml:space="preserve"> </w:t>
      </w:r>
      <w:r w:rsidRPr="00841428">
        <w:rPr>
          <w:rFonts w:eastAsia="Arial"/>
          <w:szCs w:val="22"/>
        </w:rPr>
        <w:t>with the services and advice provided by the Office of the IGEM, represented as a percentage</w:t>
      </w:r>
      <w:r w:rsidRPr="00841428">
        <w:rPr>
          <w:rFonts w:eastAsia="Arial"/>
          <w:spacing w:val="-30"/>
          <w:szCs w:val="22"/>
        </w:rPr>
        <w:t xml:space="preserve"> </w:t>
      </w:r>
      <w:r w:rsidRPr="00841428">
        <w:rPr>
          <w:rFonts w:eastAsia="Arial"/>
          <w:szCs w:val="22"/>
        </w:rPr>
        <w:t>of the total number of responses</w:t>
      </w:r>
      <w:r w:rsidRPr="00841428">
        <w:rPr>
          <w:rFonts w:eastAsia="Arial"/>
          <w:spacing w:val="-1"/>
          <w:szCs w:val="22"/>
        </w:rPr>
        <w:t xml:space="preserve"> </w:t>
      </w:r>
      <w:r w:rsidRPr="00841428">
        <w:rPr>
          <w:rFonts w:eastAsia="Arial"/>
          <w:szCs w:val="22"/>
        </w:rPr>
        <w:t>received.</w:t>
      </w:r>
    </w:p>
    <w:p w:rsidR="00841428" w:rsidRPr="00841428" w:rsidRDefault="00F36F81" w:rsidP="00841428">
      <w:pPr>
        <w:pStyle w:val="ListParagraph"/>
        <w:widowControl w:val="0"/>
        <w:numPr>
          <w:ilvl w:val="0"/>
          <w:numId w:val="37"/>
        </w:numPr>
        <w:tabs>
          <w:tab w:val="left" w:pos="541"/>
        </w:tabs>
        <w:contextualSpacing w:val="0"/>
        <w:rPr>
          <w:rFonts w:eastAsia="Arial"/>
          <w:szCs w:val="22"/>
        </w:rPr>
      </w:pPr>
      <w:r w:rsidRPr="00841428">
        <w:rPr>
          <w:rFonts w:eastAsia="Arial"/>
          <w:szCs w:val="22"/>
        </w:rPr>
        <w:t xml:space="preserve">This service standard measures the number of recommendations agreed to by the entities to which the recommendations apply, expressed as a percentage of the total number of recommendations made by the Office of the IGEM. This calculation is based on reports formally provided to the Minister during the financial year. ‘Agreed to’ refers to those recommendations which have been accepted by an accountable officer of the entity to which the </w:t>
      </w:r>
      <w:r w:rsidR="0024294A" w:rsidRPr="00841428">
        <w:rPr>
          <w:rFonts w:eastAsia="Arial"/>
          <w:szCs w:val="22"/>
        </w:rPr>
        <w:t>r</w:t>
      </w:r>
      <w:r w:rsidRPr="00841428">
        <w:rPr>
          <w:rFonts w:eastAsia="Arial"/>
          <w:szCs w:val="22"/>
        </w:rPr>
        <w:t xml:space="preserve">ecommendation applies. </w:t>
      </w:r>
    </w:p>
    <w:p w:rsidR="00BD394B" w:rsidRPr="00841428" w:rsidRDefault="00BD394B" w:rsidP="00841428">
      <w:pPr>
        <w:pStyle w:val="BodyText"/>
        <w:spacing w:line="252" w:lineRule="exact"/>
        <w:ind w:left="112" w:right="223"/>
        <w:rPr>
          <w:b/>
          <w:sz w:val="20"/>
        </w:rPr>
      </w:pPr>
      <w:r w:rsidRPr="00841428">
        <w:rPr>
          <w:b/>
          <w:sz w:val="20"/>
        </w:rPr>
        <w:t>Key</w:t>
      </w:r>
    </w:p>
    <w:p w:rsidR="00BD394B" w:rsidRPr="00841428" w:rsidRDefault="00BD394B" w:rsidP="00841428">
      <w:pPr>
        <w:widowControl w:val="0"/>
        <w:tabs>
          <w:tab w:val="left" w:pos="1985"/>
        </w:tabs>
        <w:spacing w:before="0" w:after="0"/>
        <w:ind w:left="112" w:right="557"/>
        <w:rPr>
          <w:sz w:val="20"/>
        </w:rPr>
      </w:pPr>
      <w:r w:rsidRPr="00841428">
        <w:rPr>
          <w:sz w:val="20"/>
        </w:rPr>
        <w:t>SDS</w:t>
      </w:r>
      <w:r w:rsidR="004D284F" w:rsidRPr="00841428">
        <w:rPr>
          <w:sz w:val="20"/>
        </w:rPr>
        <w:t>:</w:t>
      </w:r>
      <w:r w:rsidRPr="00841428">
        <w:rPr>
          <w:sz w:val="20"/>
        </w:rPr>
        <w:t xml:space="preserve"> </w:t>
      </w:r>
      <w:r w:rsidR="004D284F" w:rsidRPr="00841428">
        <w:rPr>
          <w:sz w:val="20"/>
        </w:rPr>
        <w:tab/>
      </w:r>
      <w:r w:rsidR="004D284F" w:rsidRPr="00841428">
        <w:rPr>
          <w:sz w:val="20"/>
        </w:rPr>
        <w:tab/>
      </w:r>
      <w:r w:rsidRPr="00841428">
        <w:rPr>
          <w:sz w:val="20"/>
        </w:rPr>
        <w:t>Service Delivery Statement</w:t>
      </w:r>
    </w:p>
    <w:p w:rsidR="00BD394B" w:rsidRPr="00841428" w:rsidRDefault="004D284F" w:rsidP="00841428">
      <w:pPr>
        <w:widowControl w:val="0"/>
        <w:spacing w:before="0" w:after="0"/>
        <w:ind w:left="2160" w:right="557" w:hanging="2048"/>
        <w:rPr>
          <w:sz w:val="20"/>
        </w:rPr>
      </w:pPr>
      <w:r w:rsidRPr="00841428">
        <w:rPr>
          <w:sz w:val="20"/>
        </w:rPr>
        <w:t xml:space="preserve">Strategic Plan: </w:t>
      </w:r>
      <w:r w:rsidRPr="00841428">
        <w:rPr>
          <w:sz w:val="20"/>
        </w:rPr>
        <w:tab/>
      </w:r>
      <w:r w:rsidRPr="00841428">
        <w:rPr>
          <w:i/>
          <w:sz w:val="20"/>
        </w:rPr>
        <w:t xml:space="preserve">The </w:t>
      </w:r>
      <w:r w:rsidR="00BD394B" w:rsidRPr="00841428">
        <w:rPr>
          <w:i/>
          <w:sz w:val="20"/>
        </w:rPr>
        <w:t xml:space="preserve">Office of the Inspector-General Emergency </w:t>
      </w:r>
      <w:r w:rsidR="00841428">
        <w:rPr>
          <w:i/>
          <w:sz w:val="20"/>
        </w:rPr>
        <w:t>Management Strategic Plan </w:t>
      </w:r>
      <w:r w:rsidR="00BD394B" w:rsidRPr="00841428">
        <w:rPr>
          <w:i/>
          <w:sz w:val="20"/>
        </w:rPr>
        <w:t>2015-19</w:t>
      </w:r>
    </w:p>
    <w:p w:rsidR="00405941" w:rsidRPr="001F5A45" w:rsidRDefault="00405941" w:rsidP="00C60996">
      <w:pPr>
        <w:pStyle w:val="Heading2"/>
      </w:pPr>
      <w:bookmarkStart w:id="138" w:name="_Toc441671811"/>
      <w:bookmarkStart w:id="139" w:name="_Toc441672099"/>
      <w:bookmarkStart w:id="140" w:name="_Toc442168886"/>
      <w:bookmarkStart w:id="141" w:name="_Toc460406680"/>
      <w:bookmarkStart w:id="142" w:name="_Toc460406830"/>
      <w:bookmarkStart w:id="143" w:name="_Toc460406866"/>
      <w:bookmarkStart w:id="144" w:name="_Toc460406945"/>
      <w:bookmarkStart w:id="145" w:name="_Toc460407059"/>
      <w:bookmarkStart w:id="146" w:name="_Toc460487962"/>
      <w:r w:rsidRPr="001F5A45">
        <w:lastRenderedPageBreak/>
        <w:t>2015-16 Highlights</w:t>
      </w:r>
      <w:bookmarkEnd w:id="138"/>
      <w:bookmarkEnd w:id="139"/>
      <w:bookmarkEnd w:id="140"/>
      <w:bookmarkEnd w:id="141"/>
      <w:bookmarkEnd w:id="142"/>
      <w:bookmarkEnd w:id="143"/>
      <w:bookmarkEnd w:id="144"/>
      <w:bookmarkEnd w:id="145"/>
      <w:bookmarkEnd w:id="146"/>
    </w:p>
    <w:p w:rsidR="000F164D" w:rsidRDefault="000F164D" w:rsidP="000F164D">
      <w:pPr>
        <w:rPr>
          <w:rFonts w:eastAsia="Calibri"/>
          <w:szCs w:val="22"/>
        </w:rPr>
      </w:pPr>
      <w:r w:rsidRPr="000A7E22">
        <w:t xml:space="preserve">This section reports on the objectives of the Office of the </w:t>
      </w:r>
      <w:r>
        <w:t xml:space="preserve">IGEM Strategic Plan 2015-2019. </w:t>
      </w:r>
      <w:r w:rsidRPr="000A7E22">
        <w:t>This is a sample of performance highlights from 2015-16 and is not representative of all work undertaken during the reporting period.</w:t>
      </w:r>
    </w:p>
    <w:p w:rsidR="000F164D" w:rsidRDefault="000F164D" w:rsidP="000F164D">
      <w:pPr>
        <w:rPr>
          <w:rFonts w:eastAsia="Calibri"/>
          <w:szCs w:val="22"/>
          <w:highlight w:val="yellow"/>
        </w:rPr>
      </w:pPr>
      <w:r>
        <w:rPr>
          <w:rFonts w:eastAsia="Calibri"/>
          <w:noProof/>
          <w:szCs w:val="22"/>
          <w:lang w:val="en-AU" w:eastAsia="en-AU"/>
        </w:rPr>
        <mc:AlternateContent>
          <mc:Choice Requires="wpg">
            <w:drawing>
              <wp:anchor distT="0" distB="0" distL="114300" distR="114300" simplePos="0" relativeHeight="251656192" behindDoc="0" locked="0" layoutInCell="1" allowOverlap="1" wp14:anchorId="6DE4FF43" wp14:editId="0521AC0C">
                <wp:simplePos x="0" y="0"/>
                <wp:positionH relativeFrom="column">
                  <wp:posOffset>13335</wp:posOffset>
                </wp:positionH>
                <wp:positionV relativeFrom="paragraph">
                  <wp:posOffset>17145</wp:posOffset>
                </wp:positionV>
                <wp:extent cx="6479540" cy="2753360"/>
                <wp:effectExtent l="19050" t="19050" r="16510" b="27940"/>
                <wp:wrapNone/>
                <wp:docPr id="30" name="Group 30"/>
                <wp:cNvGraphicFramePr/>
                <a:graphic xmlns:a="http://schemas.openxmlformats.org/drawingml/2006/main">
                  <a:graphicData uri="http://schemas.microsoft.com/office/word/2010/wordprocessingGroup">
                    <wpg:wgp>
                      <wpg:cNvGrpSpPr/>
                      <wpg:grpSpPr>
                        <a:xfrm>
                          <a:off x="0" y="0"/>
                          <a:ext cx="6479540" cy="2753360"/>
                          <a:chOff x="0" y="0"/>
                          <a:chExt cx="6479540" cy="2753833"/>
                        </a:xfrm>
                      </wpg:grpSpPr>
                      <wps:wsp>
                        <wps:cNvPr id="250" name="Rounded Rectangle 250"/>
                        <wps:cNvSpPr/>
                        <wps:spPr>
                          <a:xfrm>
                            <a:off x="0" y="0"/>
                            <a:ext cx="6479540" cy="2753833"/>
                          </a:xfrm>
                          <a:prstGeom prst="roundRect">
                            <a:avLst/>
                          </a:prstGeom>
                          <a:solidFill>
                            <a:srgbClr val="AB054C">
                              <a:alpha val="98000"/>
                            </a:srgbClr>
                          </a:solidFill>
                          <a:ln w="28575" cap="flat" cmpd="sng" algn="ctr">
                            <a:solidFill>
                              <a:srgbClr val="8A002E"/>
                            </a:solidFill>
                            <a:prstDash val="solid"/>
                          </a:ln>
                          <a:effectLst/>
                        </wps:spPr>
                        <wps:txbx>
                          <w:txbxContent>
                            <w:p w:rsidR="00797F44" w:rsidRPr="00F11267" w:rsidRDefault="00797F44" w:rsidP="000F164D">
                              <w:pPr>
                                <w:pStyle w:val="Heading4"/>
                                <w:rPr>
                                  <w:rFonts w:ascii="Arial" w:hAnsi="Arial" w:cs="Arial"/>
                                </w:rPr>
                              </w:pPr>
                              <w:bookmarkStart w:id="147" w:name="_Toc459712712"/>
                              <w:bookmarkStart w:id="148" w:name="_Toc460404384"/>
                              <w:r w:rsidRPr="00F11267">
                                <w:rPr>
                                  <w:rFonts w:ascii="Arial" w:hAnsi="Arial" w:cs="Arial"/>
                                </w:rPr>
                                <w:t>Objective One</w:t>
                              </w:r>
                              <w:bookmarkEnd w:id="147"/>
                              <w:bookmarkEnd w:id="148"/>
                            </w:p>
                          </w:txbxContent>
                        </wps:txbx>
                        <wps:bodyPr rot="0" spcFirstLastPara="0" vertOverflow="overflow" horzOverflow="overflow" vert="horz" wrap="square" lIns="216000" tIns="0" rIns="91440" bIns="45720" numCol="1" spcCol="0" rtlCol="0" fromWordArt="0" anchor="t" anchorCtr="0" forceAA="0" compatLnSpc="1">
                          <a:prstTxWarp prst="textNoShape">
                            <a:avLst/>
                          </a:prstTxWarp>
                          <a:noAutofit/>
                        </wps:bodyPr>
                      </wps:wsp>
                      <wps:wsp>
                        <wps:cNvPr id="251" name="Rounded Rectangle 251"/>
                        <wps:cNvSpPr/>
                        <wps:spPr>
                          <a:xfrm>
                            <a:off x="152400" y="590550"/>
                            <a:ext cx="2051685" cy="2010410"/>
                          </a:xfrm>
                          <a:prstGeom prst="roundRect">
                            <a:avLst/>
                          </a:prstGeom>
                          <a:solidFill>
                            <a:srgbClr val="960443"/>
                          </a:solidFill>
                          <a:ln w="28575" cap="flat" cmpd="sng" algn="ctr">
                            <a:solidFill>
                              <a:schemeClr val="bg1">
                                <a:lumMod val="95000"/>
                              </a:schemeClr>
                            </a:solidFill>
                            <a:prstDash val="solid"/>
                          </a:ln>
                          <a:effectLst/>
                        </wps:spPr>
                        <wps:txbx>
                          <w:txbxContent>
                            <w:p w:rsidR="00797F44" w:rsidRPr="00F11267" w:rsidRDefault="00797F44" w:rsidP="000F164D">
                              <w:pPr>
                                <w:spacing w:before="0" w:after="0"/>
                                <w:contextualSpacing/>
                                <w:rPr>
                                  <w:rFonts w:eastAsia="Times New Roman"/>
                                  <w:color w:val="FFFFFF" w:themeColor="background1"/>
                                  <w:kern w:val="0"/>
                                  <w:szCs w:val="24"/>
                                  <w:lang w:val="en-AU" w:eastAsia="en-AU"/>
                                </w:rPr>
                              </w:pPr>
                              <w:r w:rsidRPr="004D56F3">
                                <w:rPr>
                                  <w:i/>
                                </w:rPr>
                                <w:t>To provide independent assurance and advice about emergency management arrangements in Queensland.</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52" name="Rounded Rectangle 252"/>
                        <wps:cNvSpPr/>
                        <wps:spPr>
                          <a:xfrm>
                            <a:off x="2486025" y="590550"/>
                            <a:ext cx="3881755" cy="2010410"/>
                          </a:xfrm>
                          <a:prstGeom prst="roundRect">
                            <a:avLst/>
                          </a:prstGeom>
                          <a:solidFill>
                            <a:srgbClr val="8A043D"/>
                          </a:solidFill>
                          <a:ln w="28575" cap="flat" cmpd="sng" algn="ctr">
                            <a:solidFill>
                              <a:schemeClr val="bg1"/>
                            </a:solidFill>
                            <a:prstDash val="solid"/>
                          </a:ln>
                          <a:effectLst/>
                        </wps:spPr>
                        <wps:txbx>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rPr>
                                  <w:rFonts w:eastAsia="Arial"/>
                                </w:rPr>
                              </w:pPr>
                              <w:r w:rsidRPr="004D56F3">
                                <w:t>Continue to develop, implement and validate the Emergency Management Assurance Framework in collaboration with stakeholders.</w:t>
                              </w:r>
                            </w:p>
                            <w:p w:rsidR="00797F44" w:rsidRPr="004D56F3" w:rsidRDefault="00797F44" w:rsidP="00B40B59">
                              <w:pPr>
                                <w:pStyle w:val="ListParagraph"/>
                                <w:numPr>
                                  <w:ilvl w:val="0"/>
                                  <w:numId w:val="17"/>
                                </w:numPr>
                                <w:spacing w:before="0" w:after="0"/>
                              </w:pPr>
                              <w:r w:rsidRPr="004D56F3">
                                <w:t xml:space="preserve">Provide </w:t>
                              </w:r>
                              <w:r w:rsidRPr="000F164D">
                                <w:rPr>
                                  <w:rFonts w:eastAsia="+mn-ea"/>
                                  <w:color w:val="FFFFFF" w:themeColor="background1"/>
                                  <w:kern w:val="0"/>
                                  <w:szCs w:val="22"/>
                                  <w:lang w:eastAsia="en-AU"/>
                                </w:rPr>
                                <w:t>diligent</w:t>
                              </w:r>
                              <w:r w:rsidRPr="004D56F3">
                                <w:t xml:space="preserve"> oversight to ensure that accountabilities and responsibilities are known, understood and met across emergency management.</w:t>
                              </w:r>
                            </w:p>
                            <w:p w:rsidR="00797F44" w:rsidRPr="002C423A" w:rsidRDefault="00797F44" w:rsidP="00B40B59">
                              <w:pPr>
                                <w:pStyle w:val="ListParagraph"/>
                                <w:numPr>
                                  <w:ilvl w:val="0"/>
                                  <w:numId w:val="17"/>
                                </w:numPr>
                                <w:spacing w:before="0" w:after="0"/>
                                <w:rPr>
                                  <w:color w:val="FFFFFF" w:themeColor="background1"/>
                                  <w:sz w:val="18"/>
                                </w:rPr>
                              </w:pPr>
                              <w:r>
                                <w:t>Provide independent, evidence-</w:t>
                              </w:r>
                              <w:r w:rsidRPr="004D56F3">
                                <w:t>based advice to improve community safety.</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anchor>
            </w:drawing>
          </mc:Choice>
          <mc:Fallback>
            <w:pict>
              <v:group w14:anchorId="53D6A91E" id="Group 30" o:spid="_x0000_s1026" style="position:absolute;margin-left:1.05pt;margin-top:1.35pt;width:510.2pt;height:216.8pt;z-index:251656192" coordsize="64795,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">
                <v:roundrect id="Rounded Rectangle 250" o:spid="_x0000_s1027" style="position:absolute;width:64795;height:275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ssQA&#10;AADcAAAADwAAAGRycy9kb3ducmV2LnhtbESPTUvDQBCG74L/YRnBm91YtEjsNgRB8KDQDwW9Ddkx&#10;G5qdCdm1jf5651DocXjnfWaeZTXF3hxoTJ2wg9tZAYa4Ed9x6+B993zzACZlZI+9MDn4pQTV6vJi&#10;iaWXI2/osM2tUQinEh2EnIfS2tQEiphmMhBr9i1jxKzj2Fo/4lHhsbfzoljYiB3rhYADPQVq9tuf&#10;qBT8Cn8i3Nx9DrJehzp/vO7fnLu+mupHMJmmfF4+tV+8g/m9vq8yKgJ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LLEAAAA3AAAAA8AAAAAAAAAAAAAAAAAmAIAAGRycy9k&#10;b3ducmV2LnhtbFBLBQYAAAAABAAEAPUAAACJAwAAAAA=&#10;" fillcolor="#ab054c" strokecolor="#8a002e" strokeweight="2.25pt">
                  <v:fill opacity="64250f"/>
                  <v:textbox inset="6mm,0">
                    <w:txbxContent>
                      <w:p w:rsidR="00797F44" w:rsidRPr="00F11267" w:rsidRDefault="00797F44" w:rsidP="000F164D">
                        <w:pPr>
                          <w:pStyle w:val="Heading4"/>
                          <w:rPr>
                            <w:rFonts w:ascii="Arial" w:hAnsi="Arial" w:cs="Arial"/>
                          </w:rPr>
                        </w:pPr>
                        <w:bookmarkStart w:id="149" w:name="_Toc459712712"/>
                        <w:bookmarkStart w:id="150" w:name="_Toc460404384"/>
                        <w:r w:rsidRPr="00F11267">
                          <w:rPr>
                            <w:rFonts w:ascii="Arial" w:hAnsi="Arial" w:cs="Arial"/>
                          </w:rPr>
                          <w:t>Objective One</w:t>
                        </w:r>
                        <w:bookmarkEnd w:id="149"/>
                        <w:bookmarkEnd w:id="150"/>
                      </w:p>
                    </w:txbxContent>
                  </v:textbox>
                </v:roundrect>
                <v:roundrect id="Rounded Rectangle 251" o:spid="_x0000_s1028" style="position:absolute;left:1524;top:5905;width:20516;height:20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mF8QA&#10;AADcAAAADwAAAGRycy9kb3ducmV2LnhtbESPQWvCQBSE7wX/w/IEb3VjIEWiq4jQ6kEPicVeH9ln&#10;Esy+DdmNJv/eLRR6HGbmG2a9HUwjHtS52rKCxTwCQVxYXXOp4Pvy+b4E4TyyxsYyKRjJwXYzeVtj&#10;qu2TM3rkvhQBwi5FBZX3bSqlKyoy6Oa2JQ7ezXYGfZBdKXWHzwA3jYyj6EMarDksVNjSvqLinvdG&#10;Ad4O9GWSU5Lr5d2ef7LruO+vSs2mw24FwtPg/8N/7aNWECcL+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ZhfEAAAA3AAAAA8AAAAAAAAAAAAAAAAAmAIAAGRycy9k&#10;b3ducmV2LnhtbFBLBQYAAAAABAAEAPUAAACJAwAAAAA=&#10;" fillcolor="#960443" strokecolor="#f2f2f2 [3052]" strokeweight="2.25pt">
                  <v:textbox inset=",1mm,,1mm">
                    <w:txbxContent>
                      <w:p w:rsidR="00797F44" w:rsidRPr="00F11267" w:rsidRDefault="00797F44" w:rsidP="000F164D">
                        <w:pPr>
                          <w:spacing w:before="0" w:after="0"/>
                          <w:contextualSpacing/>
                          <w:rPr>
                            <w:rFonts w:eastAsia="Times New Roman"/>
                            <w:color w:val="FFFFFF" w:themeColor="background1"/>
                            <w:kern w:val="0"/>
                            <w:szCs w:val="24"/>
                            <w:lang w:val="en-AU" w:eastAsia="en-AU"/>
                          </w:rPr>
                        </w:pPr>
                        <w:r w:rsidRPr="004D56F3">
                          <w:rPr>
                            <w:i/>
                          </w:rPr>
                          <w:t>To provide independent assurance and advice about emergency management arrangements in Queensland.</w:t>
                        </w:r>
                      </w:p>
                    </w:txbxContent>
                  </v:textbox>
                </v:roundrect>
                <v:roundrect id="Rounded Rectangle 252" o:spid="_x0000_s1029" style="position:absolute;left:24860;top:5905;width:38817;height:20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SPcUA&#10;AADcAAAADwAAAGRycy9kb3ducmV2LnhtbESPQWvCQBSE74X+h+UVeqsbA5YSXaUqSk8FE0GPj+xr&#10;Es2+Dburif31XaHgcZiZb5jZYjCtuJLzjWUF41ECgri0uuFKwb7YvH2A8AFZY2uZFNzIw2L+/DTD&#10;TNued3TNQyUihH2GCuoQukxKX9Zk0I9sRxy9H+sMhihdJbXDPsJNK9MkeZcGG44LNXa0qqk85xej&#10;YL10t+P2dNi7nA95ce4L9/t9Uur1Zficggg0hEf4v/2lFaSTFO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hI9xQAAANwAAAAPAAAAAAAAAAAAAAAAAJgCAABkcnMv&#10;ZG93bnJldi54bWxQSwUGAAAAAAQABAD1AAAAigMAAAAA&#10;" fillcolor="#8a043d" strokecolor="white [3212]" strokeweight="2.25pt">
                  <v:textbox inset=",1mm,,1mm">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rPr>
                            <w:rFonts w:eastAsia="Arial"/>
                          </w:rPr>
                        </w:pPr>
                        <w:r w:rsidRPr="004D56F3">
                          <w:t>Continue to develop, implement and validate the Emergency Management Assurance Framework in collaboration with stakeholders.</w:t>
                        </w:r>
                      </w:p>
                      <w:p w:rsidR="00797F44" w:rsidRPr="004D56F3" w:rsidRDefault="00797F44" w:rsidP="00B40B59">
                        <w:pPr>
                          <w:pStyle w:val="ListParagraph"/>
                          <w:numPr>
                            <w:ilvl w:val="0"/>
                            <w:numId w:val="17"/>
                          </w:numPr>
                          <w:spacing w:before="0" w:after="0"/>
                        </w:pPr>
                        <w:r w:rsidRPr="004D56F3">
                          <w:t xml:space="preserve">Provide </w:t>
                        </w:r>
                        <w:r w:rsidRPr="000F164D">
                          <w:rPr>
                            <w:rFonts w:eastAsia="+mn-ea"/>
                            <w:color w:val="FFFFFF" w:themeColor="background1"/>
                            <w:kern w:val="0"/>
                            <w:szCs w:val="22"/>
                            <w:lang w:eastAsia="en-AU"/>
                          </w:rPr>
                          <w:t>diligent</w:t>
                        </w:r>
                        <w:r w:rsidRPr="004D56F3">
                          <w:t xml:space="preserve"> oversight to ensure that accountabilities and responsibilities are known, understood and met across emergency management.</w:t>
                        </w:r>
                      </w:p>
                      <w:p w:rsidR="00797F44" w:rsidRPr="002C423A" w:rsidRDefault="00797F44" w:rsidP="00B40B59">
                        <w:pPr>
                          <w:pStyle w:val="ListParagraph"/>
                          <w:numPr>
                            <w:ilvl w:val="0"/>
                            <w:numId w:val="17"/>
                          </w:numPr>
                          <w:spacing w:before="0" w:after="0"/>
                          <w:rPr>
                            <w:color w:val="FFFFFF" w:themeColor="background1"/>
                            <w:sz w:val="18"/>
                          </w:rPr>
                        </w:pPr>
                        <w:r>
                          <w:t>Provide independent, evidence-</w:t>
                        </w:r>
                        <w:r w:rsidRPr="004D56F3">
                          <w:t>based advice to improve community safety.</w:t>
                        </w:r>
                      </w:p>
                    </w:txbxContent>
                  </v:textbox>
                </v:roundrect>
              </v:group>
            </w:pict>
          </mc:Fallback>
        </mc:AlternateContent>
      </w: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6D5DCC" w:rsidRPr="004D56F3" w:rsidRDefault="006D5DCC" w:rsidP="006D5DCC">
      <w:pPr>
        <w:pStyle w:val="ListParagraph"/>
        <w:ind w:left="0"/>
        <w:contextualSpacing w:val="0"/>
        <w:rPr>
          <w:b/>
        </w:rPr>
      </w:pPr>
      <w:r w:rsidRPr="004D56F3">
        <w:rPr>
          <w:b/>
        </w:rPr>
        <w:t xml:space="preserve">Program of </w:t>
      </w:r>
      <w:r>
        <w:rPr>
          <w:b/>
        </w:rPr>
        <w:t>r</w:t>
      </w:r>
      <w:r w:rsidRPr="004D56F3">
        <w:rPr>
          <w:b/>
        </w:rPr>
        <w:t>eviews</w:t>
      </w:r>
    </w:p>
    <w:p w:rsidR="006D5DCC" w:rsidRDefault="006D5DCC" w:rsidP="006D5DCC">
      <w:pPr>
        <w:pStyle w:val="ListParagraph"/>
        <w:ind w:left="0"/>
        <w:contextualSpacing w:val="0"/>
      </w:pPr>
      <w:r w:rsidRPr="004D56F3">
        <w:t xml:space="preserve">Assurance </w:t>
      </w:r>
      <w:r>
        <w:t>a</w:t>
      </w:r>
      <w:r w:rsidRPr="004D56F3">
        <w:t xml:space="preserve">ctivities </w:t>
      </w:r>
      <w:r>
        <w:t xml:space="preserve">undertaken by the Office of the </w:t>
      </w:r>
      <w:r w:rsidR="00CF6E94">
        <w:t xml:space="preserve">IGEM </w:t>
      </w:r>
      <w:r w:rsidRPr="004D56F3">
        <w:t>include a program of strategic reviews</w:t>
      </w:r>
      <w:r>
        <w:t xml:space="preserve">. This is one way </w:t>
      </w:r>
      <w:r w:rsidRPr="004D56F3">
        <w:t xml:space="preserve">for the </w:t>
      </w:r>
      <w:r w:rsidR="00CF6E94">
        <w:t xml:space="preserve">IGEM </w:t>
      </w:r>
      <w:r w:rsidRPr="004D56F3">
        <w:t>to discern a level of confidence in Queensland’s disaster management arrangements</w:t>
      </w:r>
      <w:r>
        <w:t>, identify risks and gaps, and prioritise areas for</w:t>
      </w:r>
      <w:r w:rsidRPr="004D56F3">
        <w:t xml:space="preserve"> </w:t>
      </w:r>
      <w:r>
        <w:t xml:space="preserve">improvement. </w:t>
      </w:r>
    </w:p>
    <w:p w:rsidR="006D5DCC" w:rsidRPr="004D56F3" w:rsidRDefault="006D5DCC" w:rsidP="006D5DCC">
      <w:pPr>
        <w:pStyle w:val="ListParagraph"/>
        <w:ind w:left="0"/>
        <w:contextualSpacing w:val="0"/>
      </w:pPr>
      <w:r w:rsidRPr="004D56F3">
        <w:t>Review topics are identified via consultation with disaster management stakeholders and broad environmental scanning activities conducted by the Office of the IGEM. All topics then undergo an assessment process where the most appropriate method for addressing an identified issue is selected from the suite of assurance activities.</w:t>
      </w:r>
    </w:p>
    <w:p w:rsidR="006D5DCC" w:rsidRDefault="006D5DCC" w:rsidP="006D5DCC">
      <w:pPr>
        <w:pStyle w:val="ListParagraph"/>
        <w:ind w:left="0"/>
        <w:contextualSpacing w:val="0"/>
      </w:pPr>
      <w:r w:rsidRPr="004D56F3">
        <w:t xml:space="preserve">Reviews involve a significant depth of enquiry and produce findings, conclusions and recommendations for </w:t>
      </w:r>
      <w:r w:rsidRPr="00231E21">
        <w:t>improvements</w:t>
      </w:r>
      <w:r w:rsidR="00F24BB9">
        <w:t>.</w:t>
      </w:r>
    </w:p>
    <w:p w:rsidR="006D5DCC" w:rsidRPr="004D56F3" w:rsidRDefault="006D5DCC" w:rsidP="006D5DCC">
      <w:pPr>
        <w:pStyle w:val="ListParagraph"/>
        <w:ind w:left="0"/>
        <w:contextualSpacing w:val="0"/>
      </w:pPr>
      <w:r w:rsidRPr="004D56F3">
        <w:t xml:space="preserve">In 2015-16 the Office of the IGEM </w:t>
      </w:r>
      <w:r w:rsidRPr="00C52DD2">
        <w:t>completed three</w:t>
      </w:r>
      <w:r w:rsidRPr="004D56F3">
        <w:t xml:space="preserve"> formal reviews:</w:t>
      </w:r>
    </w:p>
    <w:p w:rsidR="006D5DCC" w:rsidRPr="00C52DD2" w:rsidRDefault="006D5DCC" w:rsidP="00207679">
      <w:pPr>
        <w:pStyle w:val="BodyText"/>
        <w:widowControl w:val="0"/>
        <w:numPr>
          <w:ilvl w:val="0"/>
          <w:numId w:val="19"/>
        </w:numPr>
        <w:spacing w:before="60" w:after="60" w:line="251" w:lineRule="exact"/>
        <w:ind w:left="473" w:hanging="360"/>
        <w:rPr>
          <w:b/>
          <w:i/>
        </w:rPr>
      </w:pPr>
      <w:r w:rsidRPr="00C52DD2">
        <w:rPr>
          <w:b/>
          <w:i/>
        </w:rPr>
        <w:t>Review of Seqwater and SunWater Warnings Communications Report</w:t>
      </w:r>
      <w:r>
        <w:rPr>
          <w:b/>
          <w:i/>
        </w:rPr>
        <w:t> </w:t>
      </w:r>
      <w:r w:rsidRPr="00C52DD2">
        <w:rPr>
          <w:b/>
          <w:i/>
        </w:rPr>
        <w:t xml:space="preserve">1: 2015-16  </w:t>
      </w:r>
    </w:p>
    <w:p w:rsidR="006D5DCC" w:rsidRPr="004D56F3" w:rsidRDefault="006D5DCC" w:rsidP="00207679">
      <w:pPr>
        <w:pStyle w:val="ListParagraph"/>
        <w:ind w:left="482"/>
        <w:contextualSpacing w:val="0"/>
      </w:pPr>
      <w:r w:rsidRPr="004D56F3">
        <w:t>The purpose of the review was to examine Seqwater’s and SunWater’s flood release communications with the community and other stakeholders; assess the timeliness and effectiveness of existing communication approaches; and recommend strategies for improvement. The review</w:t>
      </w:r>
      <w:r>
        <w:t xml:space="preserve">’s Terms of Reference </w:t>
      </w:r>
      <w:r w:rsidRPr="004D56F3">
        <w:t>included the development of principles to enable effective dam warnings communications.</w:t>
      </w:r>
    </w:p>
    <w:p w:rsidR="006D5DCC" w:rsidRDefault="006D5DCC" w:rsidP="00207679">
      <w:pPr>
        <w:pStyle w:val="ListParagraph"/>
        <w:ind w:left="482"/>
        <w:contextualSpacing w:val="0"/>
      </w:pPr>
      <w:r w:rsidRPr="004D56F3">
        <w:t>The review made eight recommendations relating to messaging (i</w:t>
      </w:r>
      <w:r>
        <w:t>.</w:t>
      </w:r>
      <w:r w:rsidRPr="004D56F3">
        <w:t>e. collaboration with local disaster management groups, addressing information sharing, messaging responsibilities, terminology and timing); implementation of strategic dam safety and disaster management policy; legislation, policy and plans; disaster operations; training, education and public information.</w:t>
      </w:r>
    </w:p>
    <w:p w:rsidR="006266C6" w:rsidRDefault="006D5DCC" w:rsidP="00207679">
      <w:pPr>
        <w:pStyle w:val="ListParagraph"/>
        <w:ind w:left="482"/>
        <w:contextualSpacing w:val="0"/>
        <w:rPr>
          <w:color w:val="AB054C"/>
        </w:rPr>
      </w:pPr>
      <w:r>
        <w:t>The review report is available at:</w:t>
      </w:r>
      <w:r w:rsidR="00CF6E94">
        <w:br/>
      </w:r>
      <w:hyperlink r:id="rId61" w:history="1">
        <w:r w:rsidR="006266C6" w:rsidRPr="0097184C">
          <w:rPr>
            <w:rStyle w:val="Hyperlink"/>
            <w:color w:val="AB054C"/>
          </w:rPr>
          <w:t>https://www.igem.qld.gov.au/reports-and-publications/reports/Pages/Review-Reports.aspx</w:t>
        </w:r>
      </w:hyperlink>
      <w:r w:rsidR="006266C6">
        <w:rPr>
          <w:color w:val="AB054C"/>
        </w:rPr>
        <w:t>.</w:t>
      </w:r>
    </w:p>
    <w:p w:rsidR="006266C6" w:rsidRPr="009C4949" w:rsidRDefault="006266C6" w:rsidP="00207679">
      <w:pPr>
        <w:pStyle w:val="ListParagraph"/>
        <w:ind w:left="482"/>
        <w:contextualSpacing w:val="0"/>
        <w:rPr>
          <w:color w:val="AB054C"/>
        </w:rPr>
      </w:pPr>
    </w:p>
    <w:p w:rsidR="009C4949" w:rsidRPr="008B7FD9" w:rsidRDefault="009C4949" w:rsidP="00207679">
      <w:pPr>
        <w:pStyle w:val="ListParagraph"/>
        <w:ind w:left="482"/>
        <w:contextualSpacing w:val="0"/>
        <w:rPr>
          <w:color w:val="AB054C"/>
        </w:rPr>
      </w:pPr>
    </w:p>
    <w:p w:rsidR="006D5DCC" w:rsidRPr="00481D05" w:rsidRDefault="006D5DCC" w:rsidP="00207679">
      <w:pPr>
        <w:pStyle w:val="BodyText"/>
        <w:widowControl w:val="0"/>
        <w:numPr>
          <w:ilvl w:val="0"/>
          <w:numId w:val="19"/>
        </w:numPr>
        <w:spacing w:before="60" w:after="60" w:line="251" w:lineRule="exact"/>
        <w:ind w:left="473" w:hanging="360"/>
        <w:rPr>
          <w:b/>
          <w:i/>
        </w:rPr>
      </w:pPr>
      <w:r w:rsidRPr="00C52DD2">
        <w:rPr>
          <w:b/>
          <w:i/>
        </w:rPr>
        <w:lastRenderedPageBreak/>
        <w:t xml:space="preserve">Review of </w:t>
      </w:r>
      <w:r>
        <w:rPr>
          <w:b/>
          <w:i/>
        </w:rPr>
        <w:t>c</w:t>
      </w:r>
      <w:r w:rsidRPr="00C52DD2">
        <w:rPr>
          <w:b/>
          <w:i/>
        </w:rPr>
        <w:t xml:space="preserve">apability at a </w:t>
      </w:r>
      <w:r>
        <w:rPr>
          <w:b/>
          <w:i/>
        </w:rPr>
        <w:t>d</w:t>
      </w:r>
      <w:r w:rsidRPr="00C52DD2">
        <w:rPr>
          <w:b/>
          <w:i/>
        </w:rPr>
        <w:t xml:space="preserve">istrict and </w:t>
      </w:r>
      <w:r>
        <w:rPr>
          <w:b/>
          <w:i/>
        </w:rPr>
        <w:t>l</w:t>
      </w:r>
      <w:r w:rsidRPr="00C52DD2">
        <w:rPr>
          <w:b/>
          <w:i/>
        </w:rPr>
        <w:t xml:space="preserve">ocal </w:t>
      </w:r>
      <w:r>
        <w:rPr>
          <w:b/>
          <w:i/>
        </w:rPr>
        <w:t>l</w:t>
      </w:r>
      <w:r w:rsidRPr="00C52DD2">
        <w:rPr>
          <w:b/>
          <w:i/>
        </w:rPr>
        <w:t xml:space="preserve">evel: Warwick </w:t>
      </w:r>
      <w:r>
        <w:rPr>
          <w:b/>
          <w:i/>
        </w:rPr>
        <w:t>d</w:t>
      </w:r>
      <w:r w:rsidRPr="00C52DD2">
        <w:rPr>
          <w:b/>
          <w:i/>
        </w:rPr>
        <w:t xml:space="preserve">isaster </w:t>
      </w:r>
      <w:r>
        <w:rPr>
          <w:b/>
          <w:i/>
        </w:rPr>
        <w:t>di</w:t>
      </w:r>
      <w:r w:rsidR="004F79A7">
        <w:rPr>
          <w:b/>
          <w:i/>
        </w:rPr>
        <w:t>strict Report 2: 2015</w:t>
      </w:r>
      <w:r w:rsidR="004F79A7">
        <w:rPr>
          <w:b/>
          <w:i/>
        </w:rPr>
        <w:noBreakHyphen/>
      </w:r>
      <w:r w:rsidRPr="00C52DD2">
        <w:rPr>
          <w:b/>
          <w:i/>
        </w:rPr>
        <w:t>16</w:t>
      </w:r>
    </w:p>
    <w:p w:rsidR="006D5DCC" w:rsidRDefault="006D5DCC" w:rsidP="00207679">
      <w:pPr>
        <w:pStyle w:val="ListParagraph"/>
        <w:ind w:left="482"/>
        <w:contextualSpacing w:val="0"/>
      </w:pPr>
      <w:r w:rsidRPr="00C52DD2">
        <w:t xml:space="preserve">The purpose of the review was to provide an in-depth assessment of local government and district level capability measured against the Standard. </w:t>
      </w:r>
    </w:p>
    <w:p w:rsidR="006D5DCC" w:rsidRDefault="006D5DCC" w:rsidP="00207679">
      <w:pPr>
        <w:pStyle w:val="ListParagraph"/>
        <w:ind w:left="482"/>
        <w:contextualSpacing w:val="0"/>
        <w:rPr>
          <w:lang w:val="en-AU"/>
        </w:rPr>
      </w:pPr>
      <w:r w:rsidRPr="00C52DD2">
        <w:t>The review focuse</w:t>
      </w:r>
      <w:r>
        <w:t>d</w:t>
      </w:r>
      <w:r w:rsidRPr="00C52DD2">
        <w:t xml:space="preserve"> on </w:t>
      </w:r>
      <w:r>
        <w:t xml:space="preserve">the Warwick Disaster District </w:t>
      </w:r>
      <w:r w:rsidRPr="00C52DD2">
        <w:t>including the District Disaster Management Group and Local Disaster Manag</w:t>
      </w:r>
      <w:r>
        <w:t xml:space="preserve">ement Groups in that district. </w:t>
      </w:r>
      <w:r w:rsidRPr="00C52DD2">
        <w:rPr>
          <w:lang w:val="en-AU"/>
        </w:rPr>
        <w:t>Th</w:t>
      </w:r>
      <w:r>
        <w:rPr>
          <w:lang w:val="en-AU"/>
        </w:rPr>
        <w:t>is</w:t>
      </w:r>
      <w:r w:rsidRPr="00C52DD2">
        <w:rPr>
          <w:lang w:val="en-AU"/>
        </w:rPr>
        <w:t xml:space="preserve"> </w:t>
      </w:r>
      <w:r w:rsidRPr="007527F4">
        <w:rPr>
          <w:lang w:val="en-AU"/>
        </w:rPr>
        <w:t xml:space="preserve">forward-looking </w:t>
      </w:r>
      <w:r w:rsidRPr="00C52DD2">
        <w:rPr>
          <w:lang w:val="en-AU"/>
        </w:rPr>
        <w:t>review assesse</w:t>
      </w:r>
      <w:r>
        <w:rPr>
          <w:lang w:val="en-AU"/>
        </w:rPr>
        <w:t>d</w:t>
      </w:r>
      <w:r w:rsidRPr="00C52DD2">
        <w:rPr>
          <w:lang w:val="en-AU"/>
        </w:rPr>
        <w:t xml:space="preserve"> the individual and collective ability of </w:t>
      </w:r>
      <w:r>
        <w:rPr>
          <w:lang w:val="en-AU"/>
        </w:rPr>
        <w:t xml:space="preserve">the </w:t>
      </w:r>
      <w:r w:rsidRPr="00C52DD2">
        <w:rPr>
          <w:lang w:val="en-AU"/>
        </w:rPr>
        <w:t xml:space="preserve">disaster management groups to meet future challenges. </w:t>
      </w:r>
    </w:p>
    <w:p w:rsidR="006D5DCC" w:rsidRDefault="006D5DCC" w:rsidP="00207679">
      <w:pPr>
        <w:pStyle w:val="ListParagraph"/>
        <w:ind w:left="482"/>
        <w:contextualSpacing w:val="0"/>
      </w:pPr>
      <w:r w:rsidRPr="00C52DD2">
        <w:rPr>
          <w:lang w:val="en-AU"/>
        </w:rPr>
        <w:t xml:space="preserve">The Office </w:t>
      </w:r>
      <w:r w:rsidRPr="00207679">
        <w:t>of</w:t>
      </w:r>
      <w:r w:rsidRPr="00C52DD2">
        <w:rPr>
          <w:lang w:val="en-AU"/>
        </w:rPr>
        <w:t xml:space="preserve"> the IGEM made an assessment focus</w:t>
      </w:r>
      <w:r>
        <w:rPr>
          <w:lang w:val="en-AU"/>
        </w:rPr>
        <w:t>ed</w:t>
      </w:r>
      <w:r w:rsidRPr="00C52DD2">
        <w:rPr>
          <w:lang w:val="en-AU"/>
        </w:rPr>
        <w:t xml:space="preserve"> on strengths and development </w:t>
      </w:r>
      <w:r w:rsidRPr="006D5DCC">
        <w:t>areas</w:t>
      </w:r>
      <w:r w:rsidRPr="00C52DD2">
        <w:rPr>
          <w:lang w:val="en-AU"/>
        </w:rPr>
        <w:t xml:space="preserve"> in the conte</w:t>
      </w:r>
      <w:r>
        <w:rPr>
          <w:lang w:val="en-AU"/>
        </w:rPr>
        <w:t xml:space="preserve">xt of anticipated future risk. </w:t>
      </w:r>
      <w:r w:rsidRPr="00C52DD2">
        <w:t>Areas identified for improvement</w:t>
      </w:r>
      <w:r>
        <w:t xml:space="preserve"> </w:t>
      </w:r>
      <w:r w:rsidRPr="00C52DD2">
        <w:t>are supported by an integrated improvement strategy across the disaster district.</w:t>
      </w:r>
      <w:r w:rsidRPr="00B8496A">
        <w:t xml:space="preserve"> </w:t>
      </w:r>
    </w:p>
    <w:p w:rsidR="006D5DCC" w:rsidRDefault="006D5DCC" w:rsidP="00207679">
      <w:pPr>
        <w:pStyle w:val="ListParagraph"/>
        <w:ind w:left="482"/>
        <w:contextualSpacing w:val="0"/>
      </w:pPr>
      <w:r w:rsidRPr="00730E25">
        <w:t xml:space="preserve">The review of the Warwick </w:t>
      </w:r>
      <w:r>
        <w:t>D</w:t>
      </w:r>
      <w:r w:rsidRPr="00730E25">
        <w:t xml:space="preserve">isaster </w:t>
      </w:r>
      <w:r>
        <w:t>D</w:t>
      </w:r>
      <w:r w:rsidRPr="00730E25">
        <w:t xml:space="preserve">istrict </w:t>
      </w:r>
      <w:r>
        <w:t xml:space="preserve">is </w:t>
      </w:r>
      <w:r w:rsidRPr="00730E25">
        <w:t>seen as a pilot for further similar reviews that may be applied in Queensland’s other 22 disaster districts</w:t>
      </w:r>
      <w:r w:rsidR="00F24BB9">
        <w:t xml:space="preserve">. </w:t>
      </w:r>
    </w:p>
    <w:p w:rsidR="006D5DCC" w:rsidRPr="00C52DD2" w:rsidRDefault="006D5DCC" w:rsidP="00207679">
      <w:pPr>
        <w:pStyle w:val="BodyText"/>
        <w:widowControl w:val="0"/>
        <w:numPr>
          <w:ilvl w:val="0"/>
          <w:numId w:val="19"/>
        </w:numPr>
        <w:spacing w:before="60" w:after="60" w:line="251" w:lineRule="exact"/>
        <w:ind w:left="473" w:hanging="360"/>
        <w:rPr>
          <w:b/>
          <w:i/>
        </w:rPr>
      </w:pPr>
      <w:r w:rsidRPr="00C52DD2">
        <w:rPr>
          <w:b/>
          <w:i/>
        </w:rPr>
        <w:t xml:space="preserve">Review of Aboriginal and Torres Strait Islander Councils’ Capability to Deliver Disaster Management Responsibilities Report 3: 2015-16 </w:t>
      </w:r>
    </w:p>
    <w:p w:rsidR="006D5DCC" w:rsidRPr="00F07FA3" w:rsidRDefault="006D5DCC" w:rsidP="00207679">
      <w:pPr>
        <w:pStyle w:val="ListParagraph"/>
        <w:ind w:left="482"/>
        <w:contextualSpacing w:val="0"/>
      </w:pPr>
      <w:r>
        <w:t xml:space="preserve">The purpose of the review was to examine the capability of Aboriginal and Torres Strait Islander local governments to deliver their disaster management responsibilities in line with the Standard. </w:t>
      </w:r>
    </w:p>
    <w:p w:rsidR="006D5DCC" w:rsidRPr="00643846" w:rsidRDefault="006D5DCC" w:rsidP="00207679">
      <w:pPr>
        <w:pStyle w:val="ListParagraph"/>
        <w:ind w:left="482"/>
        <w:contextualSpacing w:val="0"/>
      </w:pPr>
      <w:r w:rsidRPr="00F07FA3">
        <w:t xml:space="preserve">The review engaged with a number of </w:t>
      </w:r>
      <w:r>
        <w:t>Aboriginal and Torres Strait Islander local governments</w:t>
      </w:r>
      <w:r w:rsidRPr="00F07FA3">
        <w:t xml:space="preserve"> and their disaster management partners to promote partnerships and facilitate solutions to better support their ability to achieve key outcomes as described </w:t>
      </w:r>
      <w:r w:rsidRPr="00AC29C1">
        <w:t xml:space="preserve">in the </w:t>
      </w:r>
      <w:r>
        <w:t xml:space="preserve">Standard. </w:t>
      </w:r>
      <w:r w:rsidRPr="00D63C89">
        <w:t xml:space="preserve">The </w:t>
      </w:r>
      <w:r w:rsidRPr="00B6320B">
        <w:t xml:space="preserve">review was also informed by interviews with </w:t>
      </w:r>
      <w:r w:rsidRPr="00643846">
        <w:t xml:space="preserve">stakeholders from partner disaster management entities. </w:t>
      </w:r>
    </w:p>
    <w:p w:rsidR="006D5DCC" w:rsidRDefault="006D5DCC" w:rsidP="00207679">
      <w:pPr>
        <w:pStyle w:val="ListParagraph"/>
        <w:ind w:left="482"/>
        <w:contextualSpacing w:val="0"/>
      </w:pPr>
      <w:r w:rsidRPr="00B8496A">
        <w:t>By strengthening partnerships with state agencies, and through improved risk assessment and planning processes, there is opportunity for enhanced preparedness and planning in A</w:t>
      </w:r>
      <w:r>
        <w:t xml:space="preserve">boriginal and </w:t>
      </w:r>
      <w:r w:rsidRPr="00B8496A">
        <w:t>T</w:t>
      </w:r>
      <w:r>
        <w:t xml:space="preserve">orres </w:t>
      </w:r>
      <w:r w:rsidRPr="00B8496A">
        <w:t>S</w:t>
      </w:r>
      <w:r>
        <w:t xml:space="preserve">trait </w:t>
      </w:r>
      <w:r w:rsidRPr="00B8496A">
        <w:t>I</w:t>
      </w:r>
      <w:r>
        <w:t>slander</w:t>
      </w:r>
      <w:r w:rsidRPr="00B8496A">
        <w:t xml:space="preserve"> </w:t>
      </w:r>
      <w:r>
        <w:t xml:space="preserve">local governments. </w:t>
      </w:r>
      <w:r w:rsidRPr="00B8496A">
        <w:t xml:space="preserve">A greater </w:t>
      </w:r>
      <w:r w:rsidRPr="00FE55D6">
        <w:t xml:space="preserve">understanding </w:t>
      </w:r>
      <w:r w:rsidRPr="008C3D87">
        <w:t xml:space="preserve">of disaster resilience </w:t>
      </w:r>
      <w:r>
        <w:t xml:space="preserve">in these communities and consideration of alternative service delivery models and engagement approaches, </w:t>
      </w:r>
      <w:r w:rsidRPr="008C3D87">
        <w:t>may also provide opportunities for learnings that can be applied to other rural</w:t>
      </w:r>
      <w:r>
        <w:t xml:space="preserve"> and </w:t>
      </w:r>
      <w:r w:rsidRPr="008C3D87">
        <w:t xml:space="preserve">remote </w:t>
      </w:r>
      <w:r>
        <w:t>local governments</w:t>
      </w:r>
      <w:r w:rsidRPr="008C3D87">
        <w:t>.</w:t>
      </w:r>
    </w:p>
    <w:p w:rsidR="002109B9" w:rsidRPr="002109B9" w:rsidRDefault="002109B9" w:rsidP="002109B9">
      <w:pPr>
        <w:rPr>
          <w:b/>
        </w:rPr>
      </w:pPr>
      <w:r w:rsidRPr="002109B9">
        <w:rPr>
          <w:b/>
        </w:rPr>
        <w:t>Evaluations</w:t>
      </w:r>
    </w:p>
    <w:p w:rsidR="006D5DCC" w:rsidRPr="00C52DD2" w:rsidRDefault="006D5DCC" w:rsidP="006D5DCC">
      <w:pPr>
        <w:pStyle w:val="ListParagraph"/>
        <w:ind w:left="0"/>
        <w:contextualSpacing w:val="0"/>
      </w:pPr>
      <w:r w:rsidRPr="00C52DD2">
        <w:t>The Office of the IGEM also completed</w:t>
      </w:r>
      <w:r>
        <w:t xml:space="preserve"> the following evaluations</w:t>
      </w:r>
      <w:r w:rsidRPr="00C52DD2">
        <w:t>:</w:t>
      </w:r>
    </w:p>
    <w:p w:rsidR="006D5DCC" w:rsidRPr="00C52DD2" w:rsidRDefault="006D5DCC" w:rsidP="00207679">
      <w:pPr>
        <w:pStyle w:val="BodyText"/>
        <w:widowControl w:val="0"/>
        <w:numPr>
          <w:ilvl w:val="0"/>
          <w:numId w:val="19"/>
        </w:numPr>
        <w:spacing w:before="60" w:after="60" w:line="251" w:lineRule="exact"/>
        <w:ind w:left="473" w:hanging="360"/>
        <w:rPr>
          <w:bCs/>
          <w:lang w:val="en-AU"/>
        </w:rPr>
      </w:pPr>
      <w:r>
        <w:t>a</w:t>
      </w:r>
      <w:r w:rsidRPr="00C52DD2">
        <w:t>n analysis of documents relating to</w:t>
      </w:r>
      <w:r w:rsidR="00924ECD">
        <w:t xml:space="preserve"> </w:t>
      </w:r>
      <w:r w:rsidRPr="00C52DD2">
        <w:t xml:space="preserve">152 exercises carried out by disaster management groups between 2010 and 2015, to identify trends, innovations and gaps, and make comparison to practices in other jurisdictions. </w:t>
      </w:r>
      <w:r w:rsidRPr="00F07FA3">
        <w:t xml:space="preserve">The documents </w:t>
      </w:r>
      <w:r>
        <w:t>were</w:t>
      </w:r>
      <w:r w:rsidRPr="00F07FA3">
        <w:t xml:space="preserve"> related to exercises</w:t>
      </w:r>
      <w:r w:rsidRPr="00BE3DA2">
        <w:t xml:space="preserve"> based around 20 different scenarios, including cyclones, aviation incidents and water supply </w:t>
      </w:r>
      <w:r w:rsidRPr="00F07FA3">
        <w:t>contamination.</w:t>
      </w:r>
      <w:r w:rsidRPr="00C52DD2" w:rsidDel="00A040ED">
        <w:t xml:space="preserve"> </w:t>
      </w:r>
      <w:r w:rsidRPr="00C52DD2">
        <w:rPr>
          <w:bCs/>
          <w:lang w:val="en-AU"/>
        </w:rPr>
        <w:t>The Office of the I</w:t>
      </w:r>
      <w:r>
        <w:rPr>
          <w:bCs/>
          <w:lang w:val="en-AU"/>
        </w:rPr>
        <w:t>GEM</w:t>
      </w:r>
      <w:r w:rsidRPr="00C52DD2">
        <w:rPr>
          <w:bCs/>
          <w:lang w:val="en-AU"/>
        </w:rPr>
        <w:t xml:space="preserve"> observed that exercises could be improved by:</w:t>
      </w:r>
    </w:p>
    <w:p w:rsidR="006D5DCC" w:rsidRPr="00C52DD2" w:rsidRDefault="006D5DCC" w:rsidP="00B122E9">
      <w:pPr>
        <w:widowControl w:val="0"/>
        <w:numPr>
          <w:ilvl w:val="0"/>
          <w:numId w:val="23"/>
        </w:numPr>
        <w:tabs>
          <w:tab w:val="left" w:pos="833"/>
        </w:tabs>
        <w:spacing w:before="60" w:after="60"/>
        <w:ind w:left="828" w:hanging="357"/>
        <w:rPr>
          <w:bCs/>
          <w:lang w:val="en-AU"/>
        </w:rPr>
      </w:pPr>
      <w:r w:rsidRPr="00C52DD2">
        <w:rPr>
          <w:bCs/>
          <w:lang w:val="en-AU"/>
        </w:rPr>
        <w:t xml:space="preserve">better identifying </w:t>
      </w:r>
      <w:r w:rsidRPr="00207679">
        <w:t>the</w:t>
      </w:r>
      <w:r w:rsidRPr="00C52DD2">
        <w:rPr>
          <w:bCs/>
          <w:lang w:val="en-AU"/>
        </w:rPr>
        <w:t xml:space="preserve"> need for exercises</w:t>
      </w:r>
    </w:p>
    <w:p w:rsidR="006D5DCC" w:rsidRPr="00C52DD2" w:rsidRDefault="006D5DCC" w:rsidP="00B122E9">
      <w:pPr>
        <w:widowControl w:val="0"/>
        <w:numPr>
          <w:ilvl w:val="0"/>
          <w:numId w:val="23"/>
        </w:numPr>
        <w:tabs>
          <w:tab w:val="left" w:pos="833"/>
        </w:tabs>
        <w:spacing w:before="60" w:after="60"/>
        <w:ind w:left="828" w:hanging="357"/>
        <w:rPr>
          <w:bCs/>
          <w:lang w:val="en-AU"/>
        </w:rPr>
      </w:pPr>
      <w:r w:rsidRPr="00C52DD2">
        <w:rPr>
          <w:bCs/>
          <w:lang w:val="en-AU"/>
        </w:rPr>
        <w:t xml:space="preserve">involving </w:t>
      </w:r>
      <w:r w:rsidRPr="00207679">
        <w:t>stakeholders</w:t>
      </w:r>
      <w:r w:rsidRPr="00C52DD2">
        <w:rPr>
          <w:bCs/>
          <w:lang w:val="en-AU"/>
        </w:rPr>
        <w:t xml:space="preserve"> more</w:t>
      </w:r>
    </w:p>
    <w:p w:rsidR="006D5DCC" w:rsidRPr="00C52DD2" w:rsidRDefault="006D5DCC" w:rsidP="00B122E9">
      <w:pPr>
        <w:widowControl w:val="0"/>
        <w:numPr>
          <w:ilvl w:val="0"/>
          <w:numId w:val="23"/>
        </w:numPr>
        <w:tabs>
          <w:tab w:val="left" w:pos="833"/>
        </w:tabs>
        <w:spacing w:before="60" w:after="60"/>
        <w:ind w:left="828" w:hanging="357"/>
        <w:rPr>
          <w:bCs/>
          <w:lang w:val="en-AU"/>
        </w:rPr>
      </w:pPr>
      <w:r w:rsidRPr="00C52DD2">
        <w:rPr>
          <w:bCs/>
          <w:lang w:val="en-AU"/>
        </w:rPr>
        <w:t>recording exercise learnings more effectively</w:t>
      </w:r>
    </w:p>
    <w:p w:rsidR="006D5DCC" w:rsidRPr="00C52DD2" w:rsidRDefault="006D5DCC" w:rsidP="00B122E9">
      <w:pPr>
        <w:widowControl w:val="0"/>
        <w:numPr>
          <w:ilvl w:val="0"/>
          <w:numId w:val="23"/>
        </w:numPr>
        <w:tabs>
          <w:tab w:val="left" w:pos="833"/>
        </w:tabs>
        <w:spacing w:before="60" w:after="60"/>
        <w:ind w:left="828" w:hanging="357"/>
        <w:rPr>
          <w:bCs/>
          <w:lang w:val="en-AU"/>
        </w:rPr>
      </w:pPr>
      <w:r w:rsidRPr="00C52DD2">
        <w:rPr>
          <w:bCs/>
          <w:lang w:val="en-AU"/>
        </w:rPr>
        <w:t>sharing learnings with the sector</w:t>
      </w:r>
      <w:r w:rsidR="00866F52">
        <w:rPr>
          <w:bCs/>
          <w:lang w:val="en-AU"/>
        </w:rPr>
        <w:t>.</w:t>
      </w:r>
    </w:p>
    <w:p w:rsidR="006D5DCC" w:rsidRPr="00C52DD2" w:rsidRDefault="006D5DCC" w:rsidP="00207679">
      <w:pPr>
        <w:pStyle w:val="BodyText"/>
        <w:widowControl w:val="0"/>
        <w:numPr>
          <w:ilvl w:val="0"/>
          <w:numId w:val="19"/>
        </w:numPr>
        <w:spacing w:before="60" w:after="60" w:line="251" w:lineRule="exact"/>
        <w:ind w:left="473" w:hanging="360"/>
      </w:pPr>
      <w:r>
        <w:t>a</w:t>
      </w:r>
      <w:r w:rsidRPr="00C52DD2">
        <w:t xml:space="preserve">n evaluation of the achievements of the improvement strategies in the </w:t>
      </w:r>
      <w:r w:rsidRPr="00C52DD2">
        <w:rPr>
          <w:i/>
        </w:rPr>
        <w:t xml:space="preserve">State Disaster </w:t>
      </w:r>
      <w:r w:rsidRPr="00EB0CEC">
        <w:t>Coordination</w:t>
      </w:r>
      <w:r w:rsidRPr="00C52DD2">
        <w:rPr>
          <w:i/>
        </w:rPr>
        <w:t xml:space="preserve"> Centre: Room for Improvement Report June</w:t>
      </w:r>
      <w:r>
        <w:rPr>
          <w:i/>
        </w:rPr>
        <w:t> </w:t>
      </w:r>
      <w:r w:rsidRPr="00C52DD2">
        <w:rPr>
          <w:i/>
        </w:rPr>
        <w:t>2014</w:t>
      </w:r>
      <w:r>
        <w:rPr>
          <w:i/>
        </w:rPr>
        <w:t xml:space="preserve"> </w:t>
      </w:r>
      <w:r w:rsidRPr="00C52DD2">
        <w:t>(the Report)</w:t>
      </w:r>
      <w:r>
        <w:t xml:space="preserve">, </w:t>
      </w:r>
      <w:r w:rsidRPr="00C52DD2">
        <w:t>with a focus on the current functionality and operability of the State Disaster Coordination Centre (SDCC). The evaluation found the intent of the 25 recommendations in the Report</w:t>
      </w:r>
      <w:r w:rsidRPr="00C52DD2">
        <w:rPr>
          <w:i/>
        </w:rPr>
        <w:t xml:space="preserve"> </w:t>
      </w:r>
      <w:r w:rsidRPr="00C52DD2">
        <w:t>to be sufficiently achieved, and made possible by having strong partnerships; leaders committed to a multi-agency culture; and investment in people as a SDCC workforce</w:t>
      </w:r>
      <w:r w:rsidR="00F24BB9">
        <w:t>.</w:t>
      </w:r>
    </w:p>
    <w:p w:rsidR="005D39C6" w:rsidRDefault="005D39C6">
      <w:pPr>
        <w:rPr>
          <w:b/>
        </w:rPr>
      </w:pPr>
      <w:r>
        <w:rPr>
          <w:b/>
        </w:rPr>
        <w:br w:type="page"/>
      </w:r>
    </w:p>
    <w:p w:rsidR="006D5DCC" w:rsidRPr="00F07FA3" w:rsidRDefault="006D5DCC" w:rsidP="00EB0CEC">
      <w:pPr>
        <w:pStyle w:val="ListParagraph"/>
        <w:ind w:left="0"/>
        <w:contextualSpacing w:val="0"/>
        <w:rPr>
          <w:b/>
        </w:rPr>
      </w:pPr>
      <w:r w:rsidRPr="009F5B39">
        <w:rPr>
          <w:b/>
        </w:rPr>
        <w:lastRenderedPageBreak/>
        <w:t>Disaster management plans</w:t>
      </w:r>
    </w:p>
    <w:p w:rsidR="006D5DCC" w:rsidRPr="00C52DD2" w:rsidRDefault="006D5DCC" w:rsidP="00EB0CEC">
      <w:pPr>
        <w:tabs>
          <w:tab w:val="left" w:pos="567"/>
          <w:tab w:val="left" w:pos="1107"/>
        </w:tabs>
      </w:pPr>
      <w:r>
        <w:t>Since October 2014, t</w:t>
      </w:r>
      <w:r w:rsidRPr="004D56F3">
        <w:t xml:space="preserve">he </w:t>
      </w:r>
      <w:r w:rsidRPr="004D56F3">
        <w:rPr>
          <w:i/>
        </w:rPr>
        <w:t>Disaster Management Act 2003</w:t>
      </w:r>
      <w:r w:rsidRPr="004D56F3">
        <w:t xml:space="preserve"> require</w:t>
      </w:r>
      <w:r>
        <w:t xml:space="preserve">d all disaster management plans to be consistent with the Standard. </w:t>
      </w:r>
      <w:r w:rsidRPr="00F07FA3">
        <w:t xml:space="preserve">During 2015-16 the Office of the IGEM developed a single online process to </w:t>
      </w:r>
      <w:r>
        <w:t xml:space="preserve">conduct an annual assessment </w:t>
      </w:r>
      <w:r w:rsidRPr="00F07FA3">
        <w:t xml:space="preserve">of local </w:t>
      </w:r>
      <w:r>
        <w:t>government</w:t>
      </w:r>
      <w:r w:rsidRPr="00F07FA3">
        <w:t xml:space="preserve"> and district group plans against the Standard. </w:t>
      </w:r>
    </w:p>
    <w:p w:rsidR="006D5DCC" w:rsidRPr="00B6320B" w:rsidRDefault="006D5DCC" w:rsidP="00EB0CEC">
      <w:pPr>
        <w:tabs>
          <w:tab w:val="left" w:pos="567"/>
          <w:tab w:val="left" w:pos="1107"/>
        </w:tabs>
      </w:pPr>
      <w:r w:rsidRPr="00F07FA3">
        <w:t xml:space="preserve">The </w:t>
      </w:r>
      <w:r>
        <w:t xml:space="preserve">streamlined </w:t>
      </w:r>
      <w:r w:rsidRPr="00F07FA3">
        <w:t xml:space="preserve">process </w:t>
      </w:r>
      <w:r>
        <w:t xml:space="preserve">supports </w:t>
      </w:r>
      <w:r w:rsidRPr="00F07FA3">
        <w:t xml:space="preserve">local and district </w:t>
      </w:r>
      <w:r>
        <w:t xml:space="preserve">disaster </w:t>
      </w:r>
      <w:r w:rsidRPr="00F07FA3">
        <w:t xml:space="preserve">management groups to assess </w:t>
      </w:r>
      <w:r>
        <w:t xml:space="preserve">their </w:t>
      </w:r>
      <w:r w:rsidRPr="00AC29C1">
        <w:t>plan</w:t>
      </w:r>
      <w:r>
        <w:t>s</w:t>
      </w:r>
      <w:r w:rsidRPr="00AC29C1">
        <w:t xml:space="preserve"> against specific indicators and key outcomes of the Standard</w:t>
      </w:r>
      <w:r w:rsidRPr="00D63C89">
        <w:t xml:space="preserve">. </w:t>
      </w:r>
    </w:p>
    <w:p w:rsidR="006D5DCC" w:rsidRPr="00C52DD2" w:rsidRDefault="006D5DCC" w:rsidP="00EB0CEC">
      <w:pPr>
        <w:tabs>
          <w:tab w:val="left" w:pos="567"/>
          <w:tab w:val="left" w:pos="1107"/>
        </w:tabs>
      </w:pPr>
      <w:r w:rsidRPr="008C3D87">
        <w:t>In December 2015</w:t>
      </w:r>
      <w:r>
        <w:t xml:space="preserve">, </w:t>
      </w:r>
      <w:r w:rsidRPr="008C3D87">
        <w:t xml:space="preserve">tailored reports were provided to </w:t>
      </w:r>
      <w:r w:rsidRPr="00FB7D7C">
        <w:t xml:space="preserve">local </w:t>
      </w:r>
      <w:r w:rsidRPr="009764AF">
        <w:t xml:space="preserve">governments </w:t>
      </w:r>
      <w:r w:rsidRPr="00887DE7">
        <w:t xml:space="preserve">showing their </w:t>
      </w:r>
      <w:r>
        <w:t xml:space="preserve">local </w:t>
      </w:r>
      <w:r w:rsidR="002109B9">
        <w:t xml:space="preserve">plan assessment </w:t>
      </w:r>
      <w:r w:rsidRPr="00887DE7">
        <w:t>results compared to state and district av</w:t>
      </w:r>
      <w:r w:rsidRPr="00CB1FAA">
        <w:t>erages.</w:t>
      </w:r>
      <w:r w:rsidRPr="00FE7A00">
        <w:t xml:space="preserve"> The reports </w:t>
      </w:r>
      <w:r w:rsidRPr="00BB1149">
        <w:t>highlighted areas of good practice</w:t>
      </w:r>
      <w:r w:rsidRPr="00C52DD2">
        <w:t>, as well as focusing on areas for improvement.</w:t>
      </w:r>
    </w:p>
    <w:p w:rsidR="00CF6E94" w:rsidRPr="00F07FA3" w:rsidRDefault="00CF6E94" w:rsidP="00CF6E94">
      <w:pPr>
        <w:tabs>
          <w:tab w:val="left" w:pos="567"/>
          <w:tab w:val="left" w:pos="1107"/>
        </w:tabs>
      </w:pPr>
      <w:r w:rsidRPr="00C52DD2">
        <w:t xml:space="preserve">Averages across all components show that the majority of local </w:t>
      </w:r>
      <w:r>
        <w:t xml:space="preserve">governments </w:t>
      </w:r>
      <w:r w:rsidRPr="00C52DD2">
        <w:t xml:space="preserve">are </w:t>
      </w:r>
      <w:r>
        <w:t>‘</w:t>
      </w:r>
      <w:r w:rsidRPr="00481D05">
        <w:rPr>
          <w:i/>
        </w:rPr>
        <w:t>committed</w:t>
      </w:r>
      <w:r>
        <w:rPr>
          <w:i/>
        </w:rPr>
        <w:t>’</w:t>
      </w:r>
      <w:r w:rsidRPr="00C52DD2">
        <w:t xml:space="preserve"> to achieving the key outcomes of the Standard</w:t>
      </w:r>
      <w:r>
        <w:t xml:space="preserve">. </w:t>
      </w:r>
    </w:p>
    <w:p w:rsidR="005D39C6" w:rsidRDefault="005D39C6">
      <w:pPr>
        <w:rPr>
          <w:rFonts w:eastAsia="Calibri"/>
          <w:szCs w:val="22"/>
          <w:highlight w:val="yellow"/>
        </w:rPr>
      </w:pPr>
      <w:r>
        <w:rPr>
          <w:rFonts w:eastAsia="Calibri"/>
          <w:szCs w:val="22"/>
          <w:highlight w:val="yellow"/>
        </w:rPr>
        <w:br w:type="page"/>
      </w:r>
    </w:p>
    <w:p w:rsidR="00126F4C" w:rsidRDefault="00126F4C" w:rsidP="000F164D">
      <w:pPr>
        <w:rPr>
          <w:rFonts w:eastAsia="Calibri"/>
          <w:szCs w:val="22"/>
          <w:highlight w:val="yellow"/>
        </w:rPr>
      </w:pPr>
      <w:r>
        <w:rPr>
          <w:rFonts w:eastAsia="Calibri"/>
          <w:noProof/>
          <w:szCs w:val="22"/>
          <w:lang w:val="en-AU" w:eastAsia="en-AU"/>
        </w:rPr>
        <w:lastRenderedPageBreak/>
        <mc:AlternateContent>
          <mc:Choice Requires="wpg">
            <w:drawing>
              <wp:anchor distT="0" distB="0" distL="114300" distR="114300" simplePos="0" relativeHeight="251658240" behindDoc="0" locked="0" layoutInCell="1" allowOverlap="1" wp14:anchorId="77D201D4" wp14:editId="4E9D0811">
                <wp:simplePos x="0" y="0"/>
                <wp:positionH relativeFrom="column">
                  <wp:posOffset>13335</wp:posOffset>
                </wp:positionH>
                <wp:positionV relativeFrom="paragraph">
                  <wp:posOffset>67310</wp:posOffset>
                </wp:positionV>
                <wp:extent cx="6479540" cy="2857500"/>
                <wp:effectExtent l="19050" t="19050" r="16510" b="19050"/>
                <wp:wrapNone/>
                <wp:docPr id="228" name="Group 228"/>
                <wp:cNvGraphicFramePr/>
                <a:graphic xmlns:a="http://schemas.openxmlformats.org/drawingml/2006/main">
                  <a:graphicData uri="http://schemas.microsoft.com/office/word/2010/wordprocessingGroup">
                    <wpg:wgp>
                      <wpg:cNvGrpSpPr/>
                      <wpg:grpSpPr>
                        <a:xfrm>
                          <a:off x="0" y="0"/>
                          <a:ext cx="6479540" cy="2857500"/>
                          <a:chOff x="0" y="0"/>
                          <a:chExt cx="6479540" cy="2857500"/>
                        </a:xfrm>
                      </wpg:grpSpPr>
                      <wps:wsp>
                        <wps:cNvPr id="237" name="Rounded Rectangle 237"/>
                        <wps:cNvSpPr/>
                        <wps:spPr>
                          <a:xfrm>
                            <a:off x="0" y="0"/>
                            <a:ext cx="6479540" cy="2857500"/>
                          </a:xfrm>
                          <a:prstGeom prst="roundRect">
                            <a:avLst/>
                          </a:prstGeom>
                          <a:solidFill>
                            <a:srgbClr val="AB054C">
                              <a:alpha val="98000"/>
                            </a:srgbClr>
                          </a:solidFill>
                          <a:ln w="28575" cap="flat" cmpd="sng" algn="ctr">
                            <a:solidFill>
                              <a:srgbClr val="8A002E"/>
                            </a:solidFill>
                            <a:prstDash val="solid"/>
                          </a:ln>
                          <a:effectLst/>
                        </wps:spPr>
                        <wps:txbx>
                          <w:txbxContent>
                            <w:p w:rsidR="00797F44" w:rsidRPr="00F11267" w:rsidRDefault="00797F44" w:rsidP="000F164D">
                              <w:pPr>
                                <w:pStyle w:val="Heading4"/>
                                <w:rPr>
                                  <w:rFonts w:ascii="Arial" w:hAnsi="Arial" w:cs="Arial"/>
                                </w:rPr>
                              </w:pPr>
                              <w:bookmarkStart w:id="149" w:name="_Toc459712713"/>
                              <w:bookmarkStart w:id="150" w:name="_Toc460404385"/>
                              <w:r>
                                <w:rPr>
                                  <w:rFonts w:ascii="Arial" w:hAnsi="Arial" w:cs="Arial"/>
                                </w:rPr>
                                <w:t>Objective Two</w:t>
                              </w:r>
                              <w:bookmarkEnd w:id="149"/>
                              <w:bookmarkEnd w:id="150"/>
                            </w:p>
                          </w:txbxContent>
                        </wps:txbx>
                        <wps:bodyPr rot="0" spcFirstLastPara="0" vertOverflow="overflow" horzOverflow="overflow" vert="horz" wrap="square" lIns="216000" tIns="0" rIns="91440" bIns="45720" numCol="1" spcCol="0" rtlCol="0" fromWordArt="0" anchor="t" anchorCtr="0" forceAA="0" compatLnSpc="1">
                          <a:prstTxWarp prst="textNoShape">
                            <a:avLst/>
                          </a:prstTxWarp>
                          <a:noAutofit/>
                        </wps:bodyPr>
                      </wps:wsp>
                      <wps:wsp>
                        <wps:cNvPr id="238" name="Rounded Rectangle 238"/>
                        <wps:cNvSpPr/>
                        <wps:spPr>
                          <a:xfrm>
                            <a:off x="152400" y="590550"/>
                            <a:ext cx="2051685" cy="2105025"/>
                          </a:xfrm>
                          <a:prstGeom prst="roundRect">
                            <a:avLst/>
                          </a:prstGeom>
                          <a:solidFill>
                            <a:srgbClr val="960443"/>
                          </a:solidFill>
                          <a:ln w="28575" cap="flat" cmpd="sng" algn="ctr">
                            <a:solidFill>
                              <a:schemeClr val="bg1">
                                <a:lumMod val="95000"/>
                              </a:schemeClr>
                            </a:solidFill>
                            <a:prstDash val="solid"/>
                          </a:ln>
                          <a:effectLst/>
                        </wps:spPr>
                        <wps:txbx>
                          <w:txbxContent>
                            <w:p w:rsidR="00797F44" w:rsidRPr="00F11267" w:rsidRDefault="00797F44" w:rsidP="000F164D">
                              <w:pPr>
                                <w:spacing w:before="0" w:after="0"/>
                                <w:contextualSpacing/>
                                <w:rPr>
                                  <w:rFonts w:eastAsia="Times New Roman"/>
                                  <w:color w:val="FFFFFF" w:themeColor="background1"/>
                                  <w:kern w:val="0"/>
                                  <w:szCs w:val="24"/>
                                  <w:lang w:val="en-AU" w:eastAsia="en-AU"/>
                                </w:rPr>
                              </w:pPr>
                              <w:r w:rsidRPr="004D56F3">
                                <w:rPr>
                                  <w:i/>
                                </w:rPr>
                                <w:t>To provide authoritative reporting that is used to enhance accountability and improve outcomes for the community.</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39" name="Rounded Rectangle 239"/>
                        <wps:cNvSpPr/>
                        <wps:spPr>
                          <a:xfrm>
                            <a:off x="2486025" y="590550"/>
                            <a:ext cx="3881755" cy="2105025"/>
                          </a:xfrm>
                          <a:prstGeom prst="roundRect">
                            <a:avLst/>
                          </a:prstGeom>
                          <a:solidFill>
                            <a:srgbClr val="8A043D"/>
                          </a:solidFill>
                          <a:ln w="28575" cap="flat" cmpd="sng" algn="ctr">
                            <a:solidFill>
                              <a:schemeClr val="bg1"/>
                            </a:solidFill>
                            <a:prstDash val="solid"/>
                          </a:ln>
                          <a:effectLst/>
                        </wps:spPr>
                        <wps:txbx>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C90A70">
                                <w:rPr>
                                  <w:rFonts w:eastAsia="+mn-ea"/>
                                  <w:color w:val="FFFFFF" w:themeColor="background1"/>
                                  <w:kern w:val="0"/>
                                  <w:szCs w:val="22"/>
                                  <w:lang w:eastAsia="en-AU"/>
                                </w:rPr>
                                <w:t>Continue</w:t>
                              </w:r>
                              <w:r w:rsidRPr="004D56F3">
                                <w:t xml:space="preserve"> to design and implement assurance activities, tools and processes that are valued by our stakeholders and enable transparent monitoring, evaluation and reporting.</w:t>
                              </w:r>
                            </w:p>
                            <w:p w:rsidR="00797F44" w:rsidRPr="004D56F3" w:rsidRDefault="00797F44" w:rsidP="00B40B59">
                              <w:pPr>
                                <w:pStyle w:val="ListParagraph"/>
                                <w:numPr>
                                  <w:ilvl w:val="0"/>
                                  <w:numId w:val="17"/>
                                </w:numPr>
                                <w:spacing w:before="0" w:after="0"/>
                              </w:pPr>
                              <w:r w:rsidRPr="00C90A70">
                                <w:rPr>
                                  <w:rFonts w:eastAsia="+mn-ea"/>
                                  <w:color w:val="FFFFFF" w:themeColor="background1"/>
                                  <w:kern w:val="0"/>
                                  <w:szCs w:val="22"/>
                                  <w:lang w:eastAsia="en-AU"/>
                                </w:rPr>
                                <w:t>Undertake</w:t>
                              </w:r>
                              <w:r w:rsidRPr="004D56F3">
                                <w:t xml:space="preserve"> targeted reviews and system analysis that identify risks, gaps and prioritise improvements on the basis of community outcomes.</w:t>
                              </w:r>
                            </w:p>
                            <w:p w:rsidR="00797F44" w:rsidRPr="00161F25" w:rsidRDefault="00797F44" w:rsidP="00B40B59">
                              <w:pPr>
                                <w:pStyle w:val="ListParagraph"/>
                                <w:numPr>
                                  <w:ilvl w:val="0"/>
                                  <w:numId w:val="17"/>
                                </w:numPr>
                                <w:spacing w:before="0" w:after="0"/>
                                <w:rPr>
                                  <w:color w:val="FFFFFF" w:themeColor="background1"/>
                                  <w:sz w:val="18"/>
                                </w:rPr>
                              </w:pPr>
                              <w:r w:rsidRPr="004D56F3">
                                <w:t>Collaborate with agencies to facilitate solutions and drive a culture of continuous improvement and excellence</w:t>
                              </w:r>
                              <w: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anchor>
            </w:drawing>
          </mc:Choice>
          <mc:Fallback>
            <w:pict>
              <v:group w14:anchorId="6B98ED84" id="Group 228" o:spid="_x0000_s1030" style="position:absolute;margin-left:1.05pt;margin-top:5.3pt;width:510.2pt;height:225pt;z-index:251658240" coordsize="6479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">
                <v:roundrect id="Rounded Rectangle 237" o:spid="_x0000_s1031" style="position:absolute;width:64795;height:285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ZsQA&#10;AADcAAAADwAAAGRycy9kb3ducmV2LnhtbESPQWsCMRSE70L/Q3iF3jSrLa2sRpFCwYMFaxX09tg8&#10;N4ub95ZN1LW/vikUPA4z8w0znXe+VhdqQyVsYDjIQBEXYisuDWy/P/pjUCEiW6yFycCNAsxnD70p&#10;5lau/EWXTSxVgnDI0YCLscm1DoUjj2EgDXHyjtJ6jEm2pbYtXhPc13qUZa/aY8VpwWFD746K0+bs&#10;EwUP7keEi5d9I+u1W8Td6vRpzNNjt5iAitTFe/i/vbQGRs9v8Hc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nWbEAAAA3AAAAA8AAAAAAAAAAAAAAAAAmAIAAGRycy9k&#10;b3ducmV2LnhtbFBLBQYAAAAABAAEAPUAAACJAwAAAAA=&#10;" fillcolor="#ab054c" strokecolor="#8a002e" strokeweight="2.25pt">
                  <v:fill opacity="64250f"/>
                  <v:textbox inset="6mm,0">
                    <w:txbxContent>
                      <w:p w:rsidR="00797F44" w:rsidRPr="00F11267" w:rsidRDefault="00797F44" w:rsidP="000F164D">
                        <w:pPr>
                          <w:pStyle w:val="Heading4"/>
                          <w:rPr>
                            <w:rFonts w:ascii="Arial" w:hAnsi="Arial" w:cs="Arial"/>
                          </w:rPr>
                        </w:pPr>
                        <w:bookmarkStart w:id="153" w:name="_Toc459712713"/>
                        <w:bookmarkStart w:id="154" w:name="_Toc460404385"/>
                        <w:r>
                          <w:rPr>
                            <w:rFonts w:ascii="Arial" w:hAnsi="Arial" w:cs="Arial"/>
                          </w:rPr>
                          <w:t>Objective Two</w:t>
                        </w:r>
                        <w:bookmarkEnd w:id="153"/>
                        <w:bookmarkEnd w:id="154"/>
                      </w:p>
                    </w:txbxContent>
                  </v:textbox>
                </v:roundrect>
                <v:roundrect id="Rounded Rectangle 238" o:spid="_x0000_s1032" style="position:absolute;left:1524;top:5905;width:20516;height:2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qKr4A&#10;AADcAAAADwAAAGRycy9kb3ducmV2LnhtbERPuwrCMBTdBf8hXMFNUxVFqlFE8DHoYBVdL821LTY3&#10;pYla/94MguPhvOfLxpTiRbUrLCsY9CMQxKnVBWcKLudNbwrCeWSNpWVS8CEHy0W7NcdY2zef6JX4&#10;TIQQdjEqyL2vYildmpNB17cVceDutjboA6wzqWt8h3BTymEUTaTBgkNDjhWtc0ofydMowPuOtmZ8&#10;GCd6+rDH2+n6WT+vSnU7zWoGwlPj/+Kfe68VDEd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GKiq+AAAA3AAAAA8AAAAAAAAAAAAAAAAAmAIAAGRycy9kb3ducmV2&#10;LnhtbFBLBQYAAAAABAAEAPUAAACDAwAAAAA=&#10;" fillcolor="#960443" strokecolor="#f2f2f2 [3052]" strokeweight="2.25pt">
                  <v:textbox inset=",1mm,,1mm">
                    <w:txbxContent>
                      <w:p w:rsidR="00797F44" w:rsidRPr="00F11267" w:rsidRDefault="00797F44" w:rsidP="000F164D">
                        <w:pPr>
                          <w:spacing w:before="0" w:after="0"/>
                          <w:contextualSpacing/>
                          <w:rPr>
                            <w:rFonts w:eastAsia="Times New Roman"/>
                            <w:color w:val="FFFFFF" w:themeColor="background1"/>
                            <w:kern w:val="0"/>
                            <w:szCs w:val="24"/>
                            <w:lang w:val="en-AU" w:eastAsia="en-AU"/>
                          </w:rPr>
                        </w:pPr>
                        <w:r w:rsidRPr="004D56F3">
                          <w:rPr>
                            <w:i/>
                          </w:rPr>
                          <w:t>To provide authoritative reporting that is used to enhance accountability and improve outcomes for the community.</w:t>
                        </w:r>
                      </w:p>
                    </w:txbxContent>
                  </v:textbox>
                </v:roundrect>
                <v:roundrect id="Rounded Rectangle 239" o:spid="_x0000_s1033" style="position:absolute;left:24860;top:5905;width:38817;height:2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l7MUA&#10;AADcAAAADwAAAGRycy9kb3ducmV2LnhtbESPT2vCQBTE7wW/w/KE3upGhVKjq/gHS0+FJoIeH9ln&#10;Es2+Dburif303UKhx2FmfsMsVr1pxJ2cry0rGI8SEMSF1TWXCg75/uUNhA/IGhvLpOBBHlbLwdMC&#10;U207/qJ7FkoRIexTVFCF0KZS+qIig35kW+Lona0zGKJ0pdQOuwg3jZwkyas0WHNcqLClbUXFNbsZ&#10;BbuNe5zeL8eDy/iY5dcud9+fF6Weh/16DiJQH/7Df+0PrWAyn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WXsxQAAANwAAAAPAAAAAAAAAAAAAAAAAJgCAABkcnMv&#10;ZG93bnJldi54bWxQSwUGAAAAAAQABAD1AAAAigMAAAAA&#10;" fillcolor="#8a043d" strokecolor="white [3212]" strokeweight="2.25pt">
                  <v:textbox inset=",1mm,,1mm">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C90A70">
                          <w:rPr>
                            <w:rFonts w:eastAsia="+mn-ea"/>
                            <w:color w:val="FFFFFF" w:themeColor="background1"/>
                            <w:kern w:val="0"/>
                            <w:szCs w:val="22"/>
                            <w:lang w:eastAsia="en-AU"/>
                          </w:rPr>
                          <w:t>Continue</w:t>
                        </w:r>
                        <w:r w:rsidRPr="004D56F3">
                          <w:t xml:space="preserve"> to design and implement assurance activities, tools and processes that are valued by our stakeholders and enable transparent monitoring, evaluation and reporting.</w:t>
                        </w:r>
                      </w:p>
                      <w:p w:rsidR="00797F44" w:rsidRPr="004D56F3" w:rsidRDefault="00797F44" w:rsidP="00B40B59">
                        <w:pPr>
                          <w:pStyle w:val="ListParagraph"/>
                          <w:numPr>
                            <w:ilvl w:val="0"/>
                            <w:numId w:val="17"/>
                          </w:numPr>
                          <w:spacing w:before="0" w:after="0"/>
                        </w:pPr>
                        <w:r w:rsidRPr="00C90A70">
                          <w:rPr>
                            <w:rFonts w:eastAsia="+mn-ea"/>
                            <w:color w:val="FFFFFF" w:themeColor="background1"/>
                            <w:kern w:val="0"/>
                            <w:szCs w:val="22"/>
                            <w:lang w:eastAsia="en-AU"/>
                          </w:rPr>
                          <w:t>Undertake</w:t>
                        </w:r>
                        <w:r w:rsidRPr="004D56F3">
                          <w:t xml:space="preserve"> targeted reviews and system analysis that identify risks, gaps and prioritise improvements on the basis of community outcomes.</w:t>
                        </w:r>
                      </w:p>
                      <w:p w:rsidR="00797F44" w:rsidRPr="00161F25" w:rsidRDefault="00797F44" w:rsidP="00B40B59">
                        <w:pPr>
                          <w:pStyle w:val="ListParagraph"/>
                          <w:numPr>
                            <w:ilvl w:val="0"/>
                            <w:numId w:val="17"/>
                          </w:numPr>
                          <w:spacing w:before="0" w:after="0"/>
                          <w:rPr>
                            <w:color w:val="FFFFFF" w:themeColor="background1"/>
                            <w:sz w:val="18"/>
                          </w:rPr>
                        </w:pPr>
                        <w:r w:rsidRPr="004D56F3">
                          <w:t>Collaborate with agencies to facilitate solutions and drive a culture of continuous improvement and excellence</w:t>
                        </w:r>
                        <w:r>
                          <w:t>.</w:t>
                        </w:r>
                      </w:p>
                    </w:txbxContent>
                  </v:textbox>
                </v:roundrect>
              </v:group>
            </w:pict>
          </mc:Fallback>
        </mc:AlternateContent>
      </w:r>
    </w:p>
    <w:p w:rsidR="00126F4C" w:rsidRDefault="00126F4C"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0F164D" w:rsidRPr="00126F4C" w:rsidRDefault="000F164D" w:rsidP="000F164D">
      <w:pPr>
        <w:rPr>
          <w:rFonts w:eastAsia="Calibri"/>
          <w:i/>
          <w:szCs w:val="22"/>
          <w:highlight w:val="yellow"/>
        </w:rPr>
      </w:pPr>
    </w:p>
    <w:p w:rsidR="0081782B" w:rsidRPr="005B1B38" w:rsidRDefault="0081782B" w:rsidP="005B1B38">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Assurance and Excellence Development Program</w:t>
      </w:r>
    </w:p>
    <w:p w:rsidR="0081782B" w:rsidRDefault="0081782B" w:rsidP="0081782B">
      <w:pPr>
        <w:pStyle w:val="ListParagraph"/>
        <w:ind w:left="0"/>
        <w:contextualSpacing w:val="0"/>
      </w:pPr>
      <w:r w:rsidRPr="00C52DD2">
        <w:t xml:space="preserve">The AEDP is used by the Office of the IGEM to discern a level of confidence in Queensland’s disaster management arrangements. </w:t>
      </w:r>
      <w:r>
        <w:t>The AEDP assists the Office to fulfil many of its strategic priorities and objectives.</w:t>
      </w:r>
    </w:p>
    <w:p w:rsidR="0081782B" w:rsidRDefault="0081782B" w:rsidP="0081782B">
      <w:pPr>
        <w:pStyle w:val="ListParagraph"/>
        <w:ind w:left="0"/>
        <w:contextualSpacing w:val="0"/>
      </w:pPr>
      <w:r>
        <w:t>The AEDP adds value to the disaster management sector by collating and analysing information from the sector and sharing knowledge to guide improvement</w:t>
      </w:r>
      <w:r w:rsidR="00F24BB9">
        <w:t xml:space="preserve">. </w:t>
      </w:r>
    </w:p>
    <w:p w:rsidR="0081782B" w:rsidRDefault="0081782B" w:rsidP="0081782B">
      <w:pPr>
        <w:pStyle w:val="ListParagraph"/>
        <w:ind w:left="0"/>
        <w:contextualSpacing w:val="0"/>
      </w:pPr>
      <w:r>
        <w:t>In applying the AEDP, the Office seeks to address issues locally and with the least amount of formality</w:t>
      </w:r>
      <w:r w:rsidRPr="00B875AB">
        <w:t xml:space="preserve"> </w:t>
      </w:r>
      <w:r>
        <w:t>where possible. It incorporates a suite of assurance activities that collectively contribute to an understanding of the effectiveness of disaster management in Queensland</w:t>
      </w:r>
      <w:r w:rsidR="00F24BB9">
        <w:t xml:space="preserve">. </w:t>
      </w:r>
    </w:p>
    <w:p w:rsidR="0081782B" w:rsidRPr="009E5FD0" w:rsidRDefault="0081782B" w:rsidP="00CF6E94">
      <w:pPr>
        <w:pStyle w:val="ListParagraph"/>
        <w:ind w:left="0"/>
        <w:contextualSpacing w:val="0"/>
      </w:pPr>
      <w:r>
        <w:t xml:space="preserve">During 2015-16, the Office </w:t>
      </w:r>
      <w:r w:rsidRPr="00F07FA3">
        <w:t xml:space="preserve">revised and expanded </w:t>
      </w:r>
      <w:r>
        <w:t xml:space="preserve">the AEDP </w:t>
      </w:r>
      <w:r w:rsidRPr="00F07FA3">
        <w:t>handbook</w:t>
      </w:r>
      <w:r>
        <w:t xml:space="preserve"> to</w:t>
      </w:r>
      <w:r w:rsidRPr="00F07FA3">
        <w:t xml:space="preserve"> include the district capability review methodology</w:t>
      </w:r>
      <w:r>
        <w:t xml:space="preserve">. </w:t>
      </w:r>
    </w:p>
    <w:p w:rsidR="0081782B" w:rsidRPr="005B1B38" w:rsidRDefault="0081782B" w:rsidP="00B122E9">
      <w:pPr>
        <w:tabs>
          <w:tab w:val="left" w:pos="567"/>
          <w:tab w:val="left" w:pos="1107"/>
        </w:tabs>
        <w:spacing w:line="259" w:lineRule="auto"/>
        <w:rPr>
          <w:rFonts w:eastAsia="Calibri"/>
          <w:b/>
          <w:kern w:val="0"/>
          <w:szCs w:val="22"/>
          <w:lang w:val="en-AU" w:eastAsia="en-US"/>
        </w:rPr>
      </w:pPr>
      <w:r w:rsidRPr="005B1B38">
        <w:rPr>
          <w:rFonts w:eastAsia="Calibri"/>
          <w:b/>
          <w:kern w:val="0"/>
          <w:szCs w:val="22"/>
          <w:lang w:val="en-AU" w:eastAsia="en-US"/>
        </w:rPr>
        <w:t>Customer satisfaction survey</w:t>
      </w:r>
    </w:p>
    <w:p w:rsidR="0081782B" w:rsidRPr="00B6320B" w:rsidRDefault="0081782B" w:rsidP="0081782B">
      <w:pPr>
        <w:pStyle w:val="BodyText"/>
      </w:pPr>
      <w:r w:rsidRPr="00F07FA3">
        <w:t>Customer satisfaction is a key indicator of the Office of the IGEM’s effectiveness as a catalyst</w:t>
      </w:r>
      <w:r w:rsidRPr="00AC29C1">
        <w:rPr>
          <w:spacing w:val="-27"/>
        </w:rPr>
        <w:t xml:space="preserve"> </w:t>
      </w:r>
      <w:r w:rsidRPr="00AC29C1">
        <w:t>for</w:t>
      </w:r>
      <w:r w:rsidRPr="00AC29C1">
        <w:rPr>
          <w:spacing w:val="-3"/>
        </w:rPr>
        <w:t xml:space="preserve"> </w:t>
      </w:r>
      <w:r w:rsidRPr="00D63C89">
        <w:t>excellence in emergency</w:t>
      </w:r>
      <w:r w:rsidRPr="00D63C89">
        <w:rPr>
          <w:spacing w:val="-14"/>
        </w:rPr>
        <w:t xml:space="preserve"> </w:t>
      </w:r>
      <w:r w:rsidRPr="00B6320B">
        <w:t>management.</w:t>
      </w:r>
    </w:p>
    <w:p w:rsidR="0081782B" w:rsidRPr="00C52DD2" w:rsidRDefault="0081782B" w:rsidP="0081782B">
      <w:pPr>
        <w:pStyle w:val="BodyText"/>
      </w:pPr>
      <w:r w:rsidRPr="00C52DD2">
        <w:t>In November 2015, the Office of the IGEM conducted its annual customer satisfaction</w:t>
      </w:r>
      <w:r w:rsidRPr="00C52DD2">
        <w:rPr>
          <w:spacing w:val="-25"/>
        </w:rPr>
        <w:t xml:space="preserve"> </w:t>
      </w:r>
      <w:r w:rsidRPr="00C52DD2">
        <w:t>survey</w:t>
      </w:r>
      <w:r w:rsidRPr="00C52DD2">
        <w:rPr>
          <w:spacing w:val="-1"/>
        </w:rPr>
        <w:t xml:space="preserve"> </w:t>
      </w:r>
      <w:r w:rsidRPr="00C52DD2">
        <w:t>of stakeholders from state and local government entities involved in emergency</w:t>
      </w:r>
      <w:r w:rsidRPr="00C52DD2">
        <w:rPr>
          <w:spacing w:val="-27"/>
        </w:rPr>
        <w:t xml:space="preserve"> </w:t>
      </w:r>
      <w:r w:rsidRPr="00C52DD2">
        <w:t>and</w:t>
      </w:r>
      <w:r w:rsidRPr="00C52DD2">
        <w:rPr>
          <w:spacing w:val="-1"/>
        </w:rPr>
        <w:t xml:space="preserve"> </w:t>
      </w:r>
      <w:r w:rsidRPr="00C52DD2">
        <w:t>disaster management. The survey included a range of questions around staff performance, timeliness, accessibility, quality</w:t>
      </w:r>
      <w:r>
        <w:t xml:space="preserve">, </w:t>
      </w:r>
      <w:r w:rsidRPr="00C52DD2">
        <w:t xml:space="preserve">advice given and services provided, to assist the Office </w:t>
      </w:r>
      <w:r>
        <w:t xml:space="preserve">to </w:t>
      </w:r>
      <w:r w:rsidRPr="00C52DD2">
        <w:t>identify where service improvement could be targeted.</w:t>
      </w:r>
    </w:p>
    <w:p w:rsidR="0081782B" w:rsidRDefault="0081782B" w:rsidP="0081782B">
      <w:pPr>
        <w:pStyle w:val="BodyText"/>
        <w:rPr>
          <w:spacing w:val="32"/>
        </w:rPr>
      </w:pPr>
      <w:r w:rsidRPr="009707A7">
        <w:t>Overall, 83% of stakeholders were either ‘satisfied’ or ‘very satisfied’ with the services and</w:t>
      </w:r>
      <w:r w:rsidRPr="009707A7">
        <w:rPr>
          <w:spacing w:val="-31"/>
        </w:rPr>
        <w:t xml:space="preserve"> </w:t>
      </w:r>
      <w:r w:rsidRPr="009707A7">
        <w:t>advice provided by the Office of the IGEM, exceeding the target of 80% satisfaction.</w:t>
      </w:r>
      <w:r w:rsidRPr="00C52DD2">
        <w:rPr>
          <w:spacing w:val="32"/>
        </w:rPr>
        <w:t xml:space="preserve"> </w:t>
      </w:r>
    </w:p>
    <w:p w:rsidR="005D39C6" w:rsidRDefault="0081782B" w:rsidP="0081782B">
      <w:pPr>
        <w:pStyle w:val="BodyText"/>
      </w:pPr>
      <w:r w:rsidRPr="00C52DD2">
        <w:t xml:space="preserve">Some aspects of satisfaction which rated over 80% include: </w:t>
      </w:r>
      <w:r w:rsidR="002109B9">
        <w:t>reports are easy to access</w:t>
      </w:r>
      <w:r w:rsidR="009609DE">
        <w:t>;</w:t>
      </w:r>
      <w:r w:rsidR="002109B9">
        <w:t xml:space="preserve"> the </w:t>
      </w:r>
      <w:r w:rsidR="002109B9" w:rsidRPr="002109B9">
        <w:rPr>
          <w:i/>
        </w:rPr>
        <w:t>IGEM Connect</w:t>
      </w:r>
      <w:r w:rsidR="002109B9">
        <w:t xml:space="preserve"> newsletter is </w:t>
      </w:r>
      <w:r w:rsidR="009609DE">
        <w:t xml:space="preserve">readily </w:t>
      </w:r>
      <w:r w:rsidR="002109B9">
        <w:t xml:space="preserve">accessible and provides relevant information; </w:t>
      </w:r>
      <w:r w:rsidR="009609DE">
        <w:t xml:space="preserve">and Office of the IGEM staff are </w:t>
      </w:r>
      <w:r w:rsidRPr="00C52DD2">
        <w:t>polite</w:t>
      </w:r>
      <w:r w:rsidR="009609DE">
        <w:t xml:space="preserve">, </w:t>
      </w:r>
      <w:r w:rsidRPr="00C52DD2">
        <w:t>respectful</w:t>
      </w:r>
      <w:r w:rsidR="009609DE">
        <w:t>,</w:t>
      </w:r>
      <w:r w:rsidRPr="00C52DD2">
        <w:t xml:space="preserve"> professional</w:t>
      </w:r>
      <w:r w:rsidR="009609DE">
        <w:t>, approachable and helpful.</w:t>
      </w:r>
    </w:p>
    <w:p w:rsidR="005D39C6" w:rsidRDefault="005D39C6">
      <w:r>
        <w:br w:type="page"/>
      </w:r>
    </w:p>
    <w:p w:rsidR="0081782B" w:rsidRPr="005B1B38" w:rsidRDefault="0081782B" w:rsidP="00B122E9">
      <w:pPr>
        <w:tabs>
          <w:tab w:val="left" w:pos="567"/>
          <w:tab w:val="left" w:pos="1107"/>
        </w:tabs>
        <w:spacing w:line="259" w:lineRule="auto"/>
        <w:rPr>
          <w:rFonts w:eastAsia="Calibri"/>
          <w:b/>
          <w:kern w:val="0"/>
          <w:szCs w:val="22"/>
          <w:lang w:val="en-AU" w:eastAsia="en-US"/>
        </w:rPr>
      </w:pPr>
      <w:r w:rsidRPr="005B1B38">
        <w:rPr>
          <w:rFonts w:eastAsia="Calibri"/>
          <w:b/>
          <w:kern w:val="0"/>
          <w:szCs w:val="22"/>
          <w:lang w:val="en-AU" w:eastAsia="en-US"/>
        </w:rPr>
        <w:lastRenderedPageBreak/>
        <w:t>Emergency Management Assurance Framework</w:t>
      </w:r>
    </w:p>
    <w:p w:rsidR="0081782B" w:rsidRDefault="0081782B" w:rsidP="0081782B">
      <w:pPr>
        <w:pStyle w:val="BodyText"/>
      </w:pPr>
      <w:r w:rsidRPr="008E0BD1">
        <w:t>The</w:t>
      </w:r>
      <w:r>
        <w:t xml:space="preserve"> </w:t>
      </w:r>
      <w:r w:rsidRPr="008E0BD1">
        <w:t>Emergency Management Assurance Framework (the Framework)</w:t>
      </w:r>
      <w:r>
        <w:t xml:space="preserve">, launched in September 2014, </w:t>
      </w:r>
      <w:r w:rsidRPr="008E0BD1">
        <w:t>guide</w:t>
      </w:r>
      <w:r>
        <w:t>s</w:t>
      </w:r>
      <w:r w:rsidRPr="008E0BD1">
        <w:t xml:space="preserve"> the work of entities to achieve effective disaster management outcomes for the community.</w:t>
      </w:r>
    </w:p>
    <w:p w:rsidR="0081782B" w:rsidRDefault="0081782B" w:rsidP="0081782B">
      <w:pPr>
        <w:pStyle w:val="BodyText"/>
      </w:pPr>
      <w:r w:rsidRPr="008E0BD1">
        <w:t>The Framework underpins the Office of the IGEM’s legislated functions</w:t>
      </w:r>
      <w:r>
        <w:t xml:space="preserve"> and includes the Standard.</w:t>
      </w:r>
    </w:p>
    <w:p w:rsidR="0081782B" w:rsidRPr="008E0BD1" w:rsidRDefault="0081782B" w:rsidP="0081782B">
      <w:pPr>
        <w:pStyle w:val="BodyText"/>
      </w:pPr>
      <w:r w:rsidRPr="008E0BD1">
        <w:t>The Office of the IGEM applies the Framework to undertake assurance activities</w:t>
      </w:r>
      <w:r>
        <w:t>, including reviews,</w:t>
      </w:r>
      <w:r w:rsidRPr="008E0BD1">
        <w:t xml:space="preserve"> and </w:t>
      </w:r>
      <w:r>
        <w:t xml:space="preserve">to </w:t>
      </w:r>
      <w:r w:rsidRPr="008E0BD1">
        <w:t>support the continuous improvement of entities’ disaster management programs.</w:t>
      </w:r>
    </w:p>
    <w:p w:rsidR="0081782B" w:rsidRDefault="0081782B" w:rsidP="0081782B">
      <w:pPr>
        <w:pStyle w:val="BodyText"/>
      </w:pPr>
      <w:r w:rsidRPr="008E0BD1">
        <w:t>Implementation of the Framework</w:t>
      </w:r>
      <w:r>
        <w:t xml:space="preserve"> and the Standard</w:t>
      </w:r>
      <w:r w:rsidRPr="008E0BD1">
        <w:t xml:space="preserve"> in 2015-16 has included</w:t>
      </w:r>
      <w:r>
        <w:t>:</w:t>
      </w:r>
    </w:p>
    <w:p w:rsidR="0081782B" w:rsidRPr="00F2354B" w:rsidRDefault="0081782B" w:rsidP="00207679">
      <w:pPr>
        <w:pStyle w:val="BodyText"/>
        <w:widowControl w:val="0"/>
        <w:numPr>
          <w:ilvl w:val="0"/>
          <w:numId w:val="19"/>
        </w:numPr>
        <w:spacing w:before="60" w:after="60" w:line="251" w:lineRule="exact"/>
        <w:ind w:left="473" w:hanging="360"/>
      </w:pPr>
      <w:r w:rsidRPr="00F2354B">
        <w:t>regional workshops with stakeholders, including Chairs and members of local and district disaster management groups</w:t>
      </w:r>
      <w:r>
        <w:t>, covering 19 of the 23 disaster districts includi</w:t>
      </w:r>
      <w:r w:rsidR="003F562B">
        <w:t>ng the Sunshine Coast, Mt </w:t>
      </w:r>
      <w:r>
        <w:t xml:space="preserve">Isa, Mackay, Bundaberg, Charleville and Cairns, and the greater Brisbane area which was hosted at Logan </w:t>
      </w:r>
    </w:p>
    <w:p w:rsidR="0081782B" w:rsidRPr="00F2354B" w:rsidRDefault="0081782B" w:rsidP="00207679">
      <w:pPr>
        <w:pStyle w:val="BodyText"/>
        <w:widowControl w:val="0"/>
        <w:numPr>
          <w:ilvl w:val="0"/>
          <w:numId w:val="19"/>
        </w:numPr>
        <w:spacing w:before="60" w:after="60" w:line="251" w:lineRule="exact"/>
        <w:ind w:left="473" w:hanging="360"/>
      </w:pPr>
      <w:r w:rsidRPr="00F2354B">
        <w:t>presentations to members of local and district disaster management groups</w:t>
      </w:r>
    </w:p>
    <w:p w:rsidR="0081782B" w:rsidRPr="004D56F3" w:rsidRDefault="0081782B" w:rsidP="00207679">
      <w:pPr>
        <w:pStyle w:val="BodyText"/>
        <w:widowControl w:val="0"/>
        <w:numPr>
          <w:ilvl w:val="0"/>
          <w:numId w:val="19"/>
        </w:numPr>
        <w:spacing w:before="60" w:after="60" w:line="251" w:lineRule="exact"/>
        <w:ind w:left="473" w:hanging="360"/>
      </w:pPr>
      <w:r w:rsidRPr="00F2354B">
        <w:t>publication of fact</w:t>
      </w:r>
      <w:r w:rsidR="00CD455F">
        <w:t xml:space="preserve"> </w:t>
      </w:r>
      <w:r w:rsidRPr="00F2354B">
        <w:t>sheets which provide guidance and examples of good practice across the sector</w:t>
      </w:r>
      <w:r w:rsidR="00F24BB9">
        <w:t xml:space="preserve">. </w:t>
      </w:r>
    </w:p>
    <w:p w:rsidR="0081782B" w:rsidRPr="007276B2" w:rsidRDefault="0081782B" w:rsidP="0081782B">
      <w:pPr>
        <w:pStyle w:val="BodyText"/>
      </w:pPr>
      <w:r w:rsidRPr="007276B2">
        <w:t>Ninety-eight per</w:t>
      </w:r>
      <w:r>
        <w:t xml:space="preserve"> </w:t>
      </w:r>
      <w:r w:rsidRPr="007276B2">
        <w:t xml:space="preserve">cent of </w:t>
      </w:r>
      <w:r>
        <w:t xml:space="preserve">stakeholders </w:t>
      </w:r>
      <w:r w:rsidRPr="007276B2">
        <w:t>respond</w:t>
      </w:r>
      <w:r>
        <w:t xml:space="preserve">ing to the Office of the IGEM’s customer satisfaction survey </w:t>
      </w:r>
      <w:r w:rsidRPr="007276B2">
        <w:t>indicated they were aware of the Sta</w:t>
      </w:r>
      <w:r>
        <w:t>ndard.</w:t>
      </w:r>
      <w:r w:rsidRPr="007276B2">
        <w:t xml:space="preserve"> </w:t>
      </w:r>
    </w:p>
    <w:p w:rsidR="0081782B" w:rsidRDefault="0081782B" w:rsidP="0081782B">
      <w:pPr>
        <w:pStyle w:val="BodyText"/>
      </w:pPr>
      <w:r w:rsidRPr="008C6991">
        <w:t xml:space="preserve">The Framework is available at </w:t>
      </w:r>
      <w:hyperlink r:id="rId62" w:history="1">
        <w:r w:rsidR="008C6991" w:rsidRPr="008C6991">
          <w:rPr>
            <w:rStyle w:val="Hyperlink"/>
            <w:color w:val="AB054C"/>
          </w:rPr>
          <w:t>https://www.igem.qld.gov.au/assurance-framework/Pages/default.aspx</w:t>
        </w:r>
      </w:hyperlink>
      <w:r w:rsidR="008C6991" w:rsidRPr="008C6991">
        <w:rPr>
          <w:rStyle w:val="Hyperlink"/>
          <w:color w:val="AB054C"/>
        </w:rPr>
        <w:t xml:space="preserve"> </w:t>
      </w:r>
      <w:r w:rsidR="00CD455F" w:rsidRPr="0097184C">
        <w:t xml:space="preserve">and the </w:t>
      </w:r>
      <w:r w:rsidRPr="0097184C">
        <w:t>Standard is available at</w:t>
      </w:r>
      <w:r w:rsidRPr="0097184C">
        <w:rPr>
          <w:color w:val="AB054C"/>
        </w:rPr>
        <w:t xml:space="preserve"> </w:t>
      </w:r>
      <w:hyperlink r:id="rId63" w:history="1">
        <w:r w:rsidR="0097184C" w:rsidRPr="0097184C">
          <w:rPr>
            <w:rStyle w:val="Hyperlink"/>
            <w:color w:val="AB054C"/>
          </w:rPr>
          <w:t>www.igem.qld.gov.au/assurance-framework/Pages/standard.aspx</w:t>
        </w:r>
      </w:hyperlink>
      <w:r w:rsidRPr="0097184C">
        <w:t>.</w:t>
      </w:r>
    </w:p>
    <w:p w:rsidR="0081782B" w:rsidRPr="005B1B38" w:rsidRDefault="0081782B" w:rsidP="00B122E9">
      <w:pPr>
        <w:tabs>
          <w:tab w:val="left" w:pos="567"/>
          <w:tab w:val="left" w:pos="1107"/>
        </w:tabs>
        <w:spacing w:line="259" w:lineRule="auto"/>
        <w:rPr>
          <w:rFonts w:eastAsia="Calibri"/>
          <w:b/>
          <w:kern w:val="0"/>
          <w:szCs w:val="22"/>
          <w:lang w:val="en-AU" w:eastAsia="en-US"/>
        </w:rPr>
      </w:pPr>
      <w:r w:rsidRPr="005B1B38">
        <w:rPr>
          <w:rFonts w:eastAsia="Calibri"/>
          <w:b/>
          <w:kern w:val="0"/>
          <w:szCs w:val="22"/>
          <w:lang w:val="en-AU" w:eastAsia="en-US"/>
        </w:rPr>
        <w:t>Emergency Management Prioritisation Tool</w:t>
      </w:r>
    </w:p>
    <w:p w:rsidR="0081782B" w:rsidRPr="004D56F3" w:rsidRDefault="0081782B" w:rsidP="0081782B">
      <w:pPr>
        <w:pStyle w:val="BodyText"/>
      </w:pPr>
      <w:r>
        <w:t>During 2015-16, the Office of the IGEM developed an on-line P</w:t>
      </w:r>
      <w:r w:rsidRPr="004D56F3">
        <w:t xml:space="preserve">rioritisation </w:t>
      </w:r>
      <w:r>
        <w:t>T</w:t>
      </w:r>
      <w:r w:rsidRPr="004D56F3">
        <w:t xml:space="preserve">ool </w:t>
      </w:r>
      <w:r>
        <w:t xml:space="preserve">to enable </w:t>
      </w:r>
      <w:r w:rsidRPr="004D56F3">
        <w:t>entities</w:t>
      </w:r>
      <w:r>
        <w:t xml:space="preserve"> to undertake a health check of their disaster management arrangements against the Standard</w:t>
      </w:r>
      <w:r w:rsidR="002109B9">
        <w:t>,</w:t>
      </w:r>
      <w:r>
        <w:t xml:space="preserve"> and to prioritise actions to improve their disaster management capabilities and functions</w:t>
      </w:r>
      <w:r w:rsidRPr="004D56F3">
        <w:t>.</w:t>
      </w:r>
    </w:p>
    <w:p w:rsidR="0081782B" w:rsidRDefault="0081782B" w:rsidP="0081782B">
      <w:pPr>
        <w:pStyle w:val="BodyText"/>
      </w:pPr>
      <w:r>
        <w:t>The Prioritisation Tool is a self-assessment activity, designed to be applied at local, district and state level</w:t>
      </w:r>
      <w:r w:rsidR="002109B9">
        <w:t>s</w:t>
      </w:r>
      <w:r>
        <w:t xml:space="preserve"> and across the disaster management phases of prevention, preparedness, response and recovery</w:t>
      </w:r>
      <w:r w:rsidR="00F24BB9">
        <w:t>.</w:t>
      </w:r>
    </w:p>
    <w:p w:rsidR="008C6991" w:rsidRDefault="0081782B" w:rsidP="0081782B">
      <w:pPr>
        <w:pStyle w:val="BodyText"/>
      </w:pPr>
      <w:r w:rsidRPr="008C6991">
        <w:t xml:space="preserve">The Prioritisation Tool is available at </w:t>
      </w:r>
      <w:hyperlink r:id="rId64" w:history="1">
        <w:r w:rsidR="0097184C">
          <w:rPr>
            <w:rStyle w:val="Hyperlink"/>
            <w:color w:val="AB054C"/>
          </w:rPr>
          <w:t>www.igem.qld.gov.au/assurance-framework/Pages/Prioritisation-Tool.aspx</w:t>
        </w:r>
      </w:hyperlink>
      <w:r w:rsidR="008C6991" w:rsidRPr="008C6991">
        <w:t>.</w:t>
      </w:r>
    </w:p>
    <w:p w:rsidR="0081782B" w:rsidRPr="005B1B38" w:rsidRDefault="0081782B" w:rsidP="005B1B38">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 xml:space="preserve">Engagement activities </w:t>
      </w:r>
    </w:p>
    <w:p w:rsidR="0081782B" w:rsidRPr="00FD27FE" w:rsidRDefault="0081782B" w:rsidP="0081782B">
      <w:pPr>
        <w:tabs>
          <w:tab w:val="left" w:pos="567"/>
          <w:tab w:val="left" w:pos="1107"/>
        </w:tabs>
      </w:pPr>
      <w:r>
        <w:t xml:space="preserve">Significant engagement was undertaken during the </w:t>
      </w:r>
      <w:r w:rsidR="00FD27FE">
        <w:t xml:space="preserve">reporting period </w:t>
      </w:r>
      <w:r>
        <w:t>to better partner with state, national and international agencies and develop disaster management capabili</w:t>
      </w:r>
      <w:r w:rsidR="00FD27FE">
        <w:t xml:space="preserve">ty and practice in Queensland. </w:t>
      </w:r>
      <w:r>
        <w:t xml:space="preserve">This included direct engagement with Mayors, senior officers and staff from a majority of local governments, attendance at </w:t>
      </w:r>
      <w:r w:rsidR="00FD27FE">
        <w:t>d</w:t>
      </w:r>
      <w:r>
        <w:t xml:space="preserve">istrict </w:t>
      </w:r>
      <w:r w:rsidR="00FD27FE">
        <w:t>d</w:t>
      </w:r>
      <w:r>
        <w:t xml:space="preserve">isaster </w:t>
      </w:r>
      <w:r w:rsidR="00FD27FE">
        <w:t>m</w:t>
      </w:r>
      <w:r>
        <w:t xml:space="preserve">anagement </w:t>
      </w:r>
      <w:r w:rsidR="00FD27FE">
        <w:t>g</w:t>
      </w:r>
      <w:r>
        <w:t xml:space="preserve">roup and </w:t>
      </w:r>
      <w:r w:rsidR="00FD27FE">
        <w:t>l</w:t>
      </w:r>
      <w:r>
        <w:t xml:space="preserve">ocal </w:t>
      </w:r>
      <w:r w:rsidR="00FD27FE">
        <w:t>d</w:t>
      </w:r>
      <w:r>
        <w:t xml:space="preserve">isaster </w:t>
      </w:r>
      <w:r w:rsidR="00FD27FE">
        <w:t>m</w:t>
      </w:r>
      <w:r>
        <w:t xml:space="preserve">anagement </w:t>
      </w:r>
      <w:r w:rsidR="00FD27FE">
        <w:t>g</w:t>
      </w:r>
      <w:r>
        <w:t xml:space="preserve">roup meetings throughout Queensland, and active participation in exercises such as </w:t>
      </w:r>
      <w:r w:rsidRPr="002264AA">
        <w:rPr>
          <w:i/>
        </w:rPr>
        <w:t xml:space="preserve">Stan, Seaweed </w:t>
      </w:r>
      <w:r w:rsidRPr="0040669E">
        <w:t xml:space="preserve">and </w:t>
      </w:r>
      <w:r w:rsidRPr="002264AA">
        <w:rPr>
          <w:i/>
        </w:rPr>
        <w:t>Sodor</w:t>
      </w:r>
      <w:r>
        <w:rPr>
          <w:i/>
        </w:rPr>
        <w:t>.</w:t>
      </w:r>
    </w:p>
    <w:p w:rsidR="009F5B39" w:rsidRDefault="0081782B" w:rsidP="0081782B">
      <w:r w:rsidRPr="00C52DD2">
        <w:t>The Office also</w:t>
      </w:r>
      <w:r>
        <w:t xml:space="preserve"> addressed and participated in conferences, symposiums and workshops including the Australasian Fire and Emergency Service Authorities Council (AFAC) and Bushfire and Natural Haza</w:t>
      </w:r>
      <w:r w:rsidR="00FD27FE">
        <w:t>rds Cooperative Research Centre</w:t>
      </w:r>
      <w:r>
        <w:t xml:space="preserve"> (CRC) 2015 Conference (September 2015); Local Government Association of Queensland Annual Conference (October 2015); National Emergency Management Project Emergency Management (EM) Capability Roadmap Major Workshop (May</w:t>
      </w:r>
      <w:r w:rsidR="00F5524A">
        <w:t> </w:t>
      </w:r>
      <w:r>
        <w:t>2016); the 56</w:t>
      </w:r>
      <w:r w:rsidRPr="002264AA">
        <w:rPr>
          <w:vertAlign w:val="superscript"/>
        </w:rPr>
        <w:t>th</w:t>
      </w:r>
      <w:r>
        <w:t xml:space="preserve"> Floodplain Management Australia Conference (May 2016); the International Federation on Ageing 13</w:t>
      </w:r>
      <w:r w:rsidRPr="002264AA">
        <w:rPr>
          <w:vertAlign w:val="superscript"/>
        </w:rPr>
        <w:t>th</w:t>
      </w:r>
      <w:r>
        <w:t xml:space="preserve"> Global Conference (June 2016); and the World Conference on Disaster Management (June 2016).</w:t>
      </w:r>
    </w:p>
    <w:p w:rsidR="005D39C6" w:rsidRDefault="005D39C6">
      <w:pPr>
        <w:rPr>
          <w:rFonts w:eastAsia="Calibri"/>
          <w:b/>
          <w:kern w:val="0"/>
          <w:szCs w:val="22"/>
          <w:lang w:val="en-AU" w:eastAsia="en-US"/>
        </w:rPr>
      </w:pPr>
      <w:r>
        <w:rPr>
          <w:rFonts w:eastAsia="Calibri"/>
          <w:b/>
          <w:kern w:val="0"/>
          <w:szCs w:val="22"/>
          <w:lang w:val="en-AU" w:eastAsia="en-US"/>
        </w:rPr>
        <w:br w:type="page"/>
      </w:r>
    </w:p>
    <w:p w:rsidR="00D83C42" w:rsidRPr="005B1B38" w:rsidRDefault="00D83C42" w:rsidP="00D83C42">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lastRenderedPageBreak/>
        <w:t>Evaluation of the Far North Queensland combined district disaster management group trial</w:t>
      </w:r>
    </w:p>
    <w:p w:rsidR="00D83C42" w:rsidRPr="00C52DD2" w:rsidRDefault="00D83C42" w:rsidP="00D83C42">
      <w:pPr>
        <w:pStyle w:val="BodyText"/>
      </w:pPr>
      <w:r w:rsidRPr="00C52DD2">
        <w:t>In October 2015</w:t>
      </w:r>
      <w:r>
        <w:t xml:space="preserve">, </w:t>
      </w:r>
      <w:r w:rsidRPr="00C52DD2">
        <w:t xml:space="preserve">the Office </w:t>
      </w:r>
      <w:r>
        <w:t xml:space="preserve">of the IGEM </w:t>
      </w:r>
      <w:r w:rsidR="002109B9">
        <w:t xml:space="preserve">commenced an </w:t>
      </w:r>
      <w:r w:rsidRPr="00C52DD2">
        <w:t xml:space="preserve">evaluation of the </w:t>
      </w:r>
      <w:r>
        <w:t xml:space="preserve">temporary </w:t>
      </w:r>
      <w:r w:rsidRPr="00C52DD2">
        <w:t>amalgamation of the Cairns and Mareeba Disaster Districts</w:t>
      </w:r>
      <w:r>
        <w:t>. The trial merge was</w:t>
      </w:r>
      <w:r w:rsidRPr="00C52DD2">
        <w:t xml:space="preserve"> designed to improve service delivery to local governments. </w:t>
      </w:r>
    </w:p>
    <w:p w:rsidR="00D83C42" w:rsidRPr="00F07FA3" w:rsidRDefault="00D83C42" w:rsidP="00D83C42">
      <w:pPr>
        <w:pStyle w:val="BodyText"/>
      </w:pPr>
      <w:r>
        <w:t>E</w:t>
      </w:r>
      <w:r w:rsidRPr="00C52DD2">
        <w:t xml:space="preserve">valuation </w:t>
      </w:r>
      <w:r>
        <w:t xml:space="preserve">activities to 30 June 2016 included </w:t>
      </w:r>
      <w:r w:rsidRPr="00C52DD2">
        <w:t>survey</w:t>
      </w:r>
      <w:r>
        <w:t>s</w:t>
      </w:r>
      <w:r w:rsidRPr="00C52DD2">
        <w:t xml:space="preserve"> to gauge sentiment about districts’ performance before the trial</w:t>
      </w:r>
      <w:r>
        <w:t xml:space="preserve">, attendance at a </w:t>
      </w:r>
      <w:r w:rsidRPr="00C52DD2">
        <w:t xml:space="preserve">combined </w:t>
      </w:r>
      <w:r>
        <w:t>d</w:t>
      </w:r>
      <w:r w:rsidRPr="00C52DD2">
        <w:t xml:space="preserve">istrict </w:t>
      </w:r>
      <w:r>
        <w:t>d</w:t>
      </w:r>
      <w:r w:rsidRPr="00C52DD2">
        <w:t xml:space="preserve">isaster </w:t>
      </w:r>
      <w:r>
        <w:t>m</w:t>
      </w:r>
      <w:r w:rsidRPr="00C52DD2">
        <w:t xml:space="preserve">anagement </w:t>
      </w:r>
      <w:r>
        <w:t>g</w:t>
      </w:r>
      <w:r w:rsidRPr="00C52DD2">
        <w:t>roup meeting</w:t>
      </w:r>
      <w:r>
        <w:t xml:space="preserve"> </w:t>
      </w:r>
      <w:r w:rsidRPr="00C52DD2">
        <w:t xml:space="preserve">and interviews with </w:t>
      </w:r>
      <w:r>
        <w:t xml:space="preserve">key </w:t>
      </w:r>
      <w:r w:rsidRPr="00C52DD2">
        <w:t xml:space="preserve">stakeholders. </w:t>
      </w:r>
    </w:p>
    <w:p w:rsidR="009F5B39" w:rsidRDefault="009F5B39">
      <w:r>
        <w:br w:type="page"/>
      </w:r>
    </w:p>
    <w:p w:rsidR="000F164D" w:rsidRPr="00126F4C" w:rsidRDefault="00C935C0" w:rsidP="0081782B">
      <w:pPr>
        <w:rPr>
          <w:rFonts w:eastAsia="Calibri"/>
          <w:i/>
          <w:szCs w:val="22"/>
          <w:highlight w:val="yellow"/>
        </w:rPr>
      </w:pPr>
      <w:r>
        <w:rPr>
          <w:rFonts w:eastAsia="Calibri"/>
          <w:noProof/>
          <w:szCs w:val="22"/>
          <w:lang w:val="en-AU" w:eastAsia="en-AU"/>
        </w:rPr>
        <w:lastRenderedPageBreak/>
        <mc:AlternateContent>
          <mc:Choice Requires="wpg">
            <w:drawing>
              <wp:anchor distT="0" distB="0" distL="114300" distR="114300" simplePos="0" relativeHeight="251660288" behindDoc="0" locked="0" layoutInCell="1" allowOverlap="1" wp14:anchorId="794B5D4C" wp14:editId="5B4726BE">
                <wp:simplePos x="0" y="0"/>
                <wp:positionH relativeFrom="column">
                  <wp:posOffset>13335</wp:posOffset>
                </wp:positionH>
                <wp:positionV relativeFrom="paragraph">
                  <wp:posOffset>202727</wp:posOffset>
                </wp:positionV>
                <wp:extent cx="6479540" cy="3657600"/>
                <wp:effectExtent l="19050" t="19050" r="16510" b="19050"/>
                <wp:wrapNone/>
                <wp:docPr id="233" name="Group 233"/>
                <wp:cNvGraphicFramePr/>
                <a:graphic xmlns:a="http://schemas.openxmlformats.org/drawingml/2006/main">
                  <a:graphicData uri="http://schemas.microsoft.com/office/word/2010/wordprocessingGroup">
                    <wpg:wgp>
                      <wpg:cNvGrpSpPr/>
                      <wpg:grpSpPr>
                        <a:xfrm>
                          <a:off x="0" y="0"/>
                          <a:ext cx="6479540" cy="3657600"/>
                          <a:chOff x="0" y="0"/>
                          <a:chExt cx="6479540" cy="3590925"/>
                        </a:xfrm>
                      </wpg:grpSpPr>
                      <wps:wsp>
                        <wps:cNvPr id="130" name="Rounded Rectangle 130"/>
                        <wps:cNvSpPr/>
                        <wps:spPr>
                          <a:xfrm>
                            <a:off x="0" y="0"/>
                            <a:ext cx="6479540" cy="3590925"/>
                          </a:xfrm>
                          <a:prstGeom prst="roundRect">
                            <a:avLst/>
                          </a:prstGeom>
                          <a:solidFill>
                            <a:srgbClr val="AB054C">
                              <a:alpha val="98000"/>
                            </a:srgbClr>
                          </a:solidFill>
                          <a:ln w="28575" cap="flat" cmpd="sng" algn="ctr">
                            <a:solidFill>
                              <a:srgbClr val="8A002E"/>
                            </a:solidFill>
                            <a:prstDash val="solid"/>
                          </a:ln>
                          <a:effectLst/>
                        </wps:spPr>
                        <wps:txbx>
                          <w:txbxContent>
                            <w:p w:rsidR="00797F44" w:rsidRPr="00F11267" w:rsidRDefault="00797F44" w:rsidP="000F164D">
                              <w:pPr>
                                <w:pStyle w:val="Heading4"/>
                                <w:rPr>
                                  <w:rFonts w:ascii="Arial" w:hAnsi="Arial" w:cs="Arial"/>
                                </w:rPr>
                              </w:pPr>
                              <w:bookmarkStart w:id="151" w:name="_Toc459712714"/>
                              <w:bookmarkStart w:id="152" w:name="_Toc460404386"/>
                              <w:r>
                                <w:rPr>
                                  <w:rFonts w:ascii="Arial" w:hAnsi="Arial" w:cs="Arial"/>
                                </w:rPr>
                                <w:t>Objective Three</w:t>
                              </w:r>
                              <w:bookmarkEnd w:id="151"/>
                              <w:bookmarkEnd w:id="152"/>
                            </w:p>
                          </w:txbxContent>
                        </wps:txbx>
                        <wps:bodyPr rot="0" spcFirstLastPara="0" vertOverflow="overflow" horzOverflow="overflow" vert="horz" wrap="square" lIns="216000" tIns="0" rIns="91440" bIns="45720" numCol="1" spcCol="0" rtlCol="0" fromWordArt="0" anchor="t" anchorCtr="0" forceAA="0" compatLnSpc="1">
                          <a:prstTxWarp prst="textNoShape">
                            <a:avLst/>
                          </a:prstTxWarp>
                          <a:noAutofit/>
                        </wps:bodyPr>
                      </wps:wsp>
                      <wps:wsp>
                        <wps:cNvPr id="135" name="Rounded Rectangle 135"/>
                        <wps:cNvSpPr/>
                        <wps:spPr>
                          <a:xfrm>
                            <a:off x="152400" y="590550"/>
                            <a:ext cx="2051685" cy="2845435"/>
                          </a:xfrm>
                          <a:prstGeom prst="roundRect">
                            <a:avLst/>
                          </a:prstGeom>
                          <a:solidFill>
                            <a:srgbClr val="960443"/>
                          </a:solidFill>
                          <a:ln w="28575" cap="flat" cmpd="sng" algn="ctr">
                            <a:solidFill>
                              <a:schemeClr val="bg1">
                                <a:lumMod val="95000"/>
                              </a:schemeClr>
                            </a:solidFill>
                            <a:prstDash val="solid"/>
                          </a:ln>
                          <a:effectLst/>
                        </wps:spPr>
                        <wps:txbx>
                          <w:txbxContent>
                            <w:p w:rsidR="00797F44" w:rsidRPr="00161F25" w:rsidRDefault="00797F44" w:rsidP="000F164D">
                              <w:pPr>
                                <w:spacing w:before="0" w:after="0"/>
                                <w:contextualSpacing/>
                                <w:rPr>
                                  <w:rFonts w:eastAsia="Times New Roman"/>
                                  <w:color w:val="F2F2F2" w:themeColor="background1" w:themeShade="F2"/>
                                  <w:kern w:val="0"/>
                                  <w:szCs w:val="24"/>
                                  <w:lang w:val="en-AU" w:eastAsia="en-AU"/>
                                </w:rPr>
                              </w:pPr>
                              <w:r w:rsidRPr="004D56F3">
                                <w:rPr>
                                  <w:i/>
                                </w:rPr>
                                <w:t>To drive a culture of excellence across the emergency management sector by connecting stakeholders, creating partnerships and marshalling expertise.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36" name="Rounded Rectangle 136"/>
                        <wps:cNvSpPr/>
                        <wps:spPr>
                          <a:xfrm>
                            <a:off x="2486025" y="590550"/>
                            <a:ext cx="3881755" cy="2845435"/>
                          </a:xfrm>
                          <a:prstGeom prst="roundRect">
                            <a:avLst/>
                          </a:prstGeom>
                          <a:solidFill>
                            <a:srgbClr val="8A043D"/>
                          </a:solidFill>
                          <a:ln w="28575" cap="flat" cmpd="sng" algn="ctr">
                            <a:solidFill>
                              <a:schemeClr val="bg1"/>
                            </a:solidFill>
                            <a:prstDash val="solid"/>
                          </a:ln>
                          <a:effectLst/>
                        </wps:spPr>
                        <wps:txbx>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4D56F3">
                                <w:t>Establish trusted partnerships that promote innovation, interoperability, consultation and knowledge transfer across the emergency management sector.</w:t>
                              </w:r>
                            </w:p>
                            <w:p w:rsidR="00797F44" w:rsidRPr="004D56F3" w:rsidRDefault="00797F44" w:rsidP="00B40B59">
                              <w:pPr>
                                <w:pStyle w:val="ListParagraph"/>
                                <w:numPr>
                                  <w:ilvl w:val="0"/>
                                  <w:numId w:val="17"/>
                                </w:numPr>
                                <w:spacing w:before="0" w:after="0"/>
                              </w:pPr>
                              <w:r w:rsidRPr="004D56F3">
                                <w:t>Develop and enhance platforms for engagement that connect stakeholders and enable timely and open communication.</w:t>
                              </w:r>
                            </w:p>
                            <w:p w:rsidR="00797F44" w:rsidRPr="004D56F3" w:rsidRDefault="00797F44" w:rsidP="00B40B59">
                              <w:pPr>
                                <w:pStyle w:val="ListParagraph"/>
                                <w:numPr>
                                  <w:ilvl w:val="0"/>
                                  <w:numId w:val="17"/>
                                </w:numPr>
                                <w:spacing w:before="0" w:after="0"/>
                              </w:pPr>
                              <w:r w:rsidRPr="004D56F3">
                                <w:t>Ensure lessons identified, research and good practice are contextuali</w:t>
                              </w:r>
                              <w:r>
                                <w:t>s</w:t>
                              </w:r>
                              <w:r w:rsidRPr="004D56F3">
                                <w:t>ed for Queensland and integrated into emergency management standards and practice.</w:t>
                              </w:r>
                            </w:p>
                            <w:p w:rsidR="00797F44" w:rsidRPr="00161F25" w:rsidRDefault="00797F44" w:rsidP="00B40B59">
                              <w:pPr>
                                <w:pStyle w:val="ListParagraph"/>
                                <w:numPr>
                                  <w:ilvl w:val="0"/>
                                  <w:numId w:val="17"/>
                                </w:numPr>
                                <w:spacing w:before="0" w:after="0"/>
                                <w:rPr>
                                  <w:rFonts w:eastAsia="+mn-ea"/>
                                  <w:color w:val="FFFFFF" w:themeColor="background1"/>
                                  <w:kern w:val="0"/>
                                  <w:szCs w:val="22"/>
                                  <w:lang w:eastAsia="en-AU"/>
                                </w:rPr>
                              </w:pPr>
                              <w:r w:rsidRPr="004D56F3">
                                <w:t>Develop and enhance links between emergency management and interdependent policy and programs.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32AA40" id="Group 233" o:spid="_x0000_s1034" style="position:absolute;margin-left:1.05pt;margin-top:15.95pt;width:510.2pt;height:4in;z-index:251660288;mso-height-relative:margin" coordsize="64795,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">
                <v:roundrect id="Rounded Rectangle 130" o:spid="_x0000_s1035" style="position:absolute;width:64795;height:359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kbsQA&#10;AADcAAAADwAAAGRycy9kb3ducmV2LnhtbESPQUsDQQyF74L/YUjBm51tLSLbTksRCh4UalVob2En&#10;3Vm6kyw7Y7v665uD4O2FvHx5b7EaYmvO1KdG2MFkXIAhrsQ3XDv4/NjcP4FJGdljK0wOfijBanl7&#10;s8DSy4Xf6bzLtVEIpxIdhJy70tpUBYqYxtIR6+4ofcSsY19b3+NF4bG106J4tBEb1g8BO3oOVJ12&#10;31EpeAi/IlzN9p1st2Gdv15Pb87djYb1HEymIf+b/65fvMZ/0PhaRhXY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ZG7EAAAA3AAAAA8AAAAAAAAAAAAAAAAAmAIAAGRycy9k&#10;b3ducmV2LnhtbFBLBQYAAAAABAAEAPUAAACJAwAAAAA=&#10;" fillcolor="#ab054c" strokecolor="#8a002e" strokeweight="2.25pt">
                  <v:fill opacity="64250f"/>
                  <v:textbox inset="6mm,0">
                    <w:txbxContent>
                      <w:p w:rsidR="00797F44" w:rsidRPr="00F11267" w:rsidRDefault="00797F44" w:rsidP="000F164D">
                        <w:pPr>
                          <w:pStyle w:val="Heading4"/>
                          <w:rPr>
                            <w:rFonts w:ascii="Arial" w:hAnsi="Arial" w:cs="Arial"/>
                          </w:rPr>
                        </w:pPr>
                        <w:bookmarkStart w:id="157" w:name="_Toc459712714"/>
                        <w:bookmarkStart w:id="158" w:name="_Toc460404386"/>
                        <w:r>
                          <w:rPr>
                            <w:rFonts w:ascii="Arial" w:hAnsi="Arial" w:cs="Arial"/>
                          </w:rPr>
                          <w:t>Objective Three</w:t>
                        </w:r>
                        <w:bookmarkEnd w:id="157"/>
                        <w:bookmarkEnd w:id="158"/>
                      </w:p>
                    </w:txbxContent>
                  </v:textbox>
                </v:roundrect>
                <v:roundrect id="Rounded Rectangle 135" o:spid="_x0000_s1036" style="position:absolute;left:1524;top:5905;width:20516;height:28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kyMAA&#10;AADcAAAADwAAAGRycy9kb3ducmV2LnhtbERPy6rCMBDdC/5DGMGdpiq9SDWKCD4W14VVdDs0Y1ts&#10;JqWJWv/eXBDubg7nOfNlayrxpMaVlhWMhhEI4szqknMF59NmMAXhPLLGyjIpeJOD5aLbmWOi7YuP&#10;9Ex9LkIIuwQVFN7XiZQuK8igG9qaOHA32xj0ATa51A2+Qrip5DiKfqTBkkNDgTWtC8ru6cMowNuO&#10;tib+jVM9vdvD9Xh5rx8Xpfq9djUD4an1/+Kve6/D/EkMf8+EC+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LkyMAAAADcAAAADwAAAAAAAAAAAAAAAACYAgAAZHJzL2Rvd25y&#10;ZXYueG1sUEsFBgAAAAAEAAQA9QAAAIUDAAAAAA==&#10;" fillcolor="#960443" strokecolor="#f2f2f2 [3052]" strokeweight="2.25pt">
                  <v:textbox inset=",1mm,,1mm">
                    <w:txbxContent>
                      <w:p w:rsidR="00797F44" w:rsidRPr="00161F25" w:rsidRDefault="00797F44" w:rsidP="000F164D">
                        <w:pPr>
                          <w:spacing w:before="0" w:after="0"/>
                          <w:contextualSpacing/>
                          <w:rPr>
                            <w:rFonts w:eastAsia="Times New Roman"/>
                            <w:color w:val="F2F2F2" w:themeColor="background1" w:themeShade="F2"/>
                            <w:kern w:val="0"/>
                            <w:szCs w:val="24"/>
                            <w:lang w:val="en-AU" w:eastAsia="en-AU"/>
                          </w:rPr>
                        </w:pPr>
                        <w:r w:rsidRPr="004D56F3">
                          <w:rPr>
                            <w:i/>
                          </w:rPr>
                          <w:t>To drive a culture of excellence across the emergency management sector by connecting stakeholders, creating partnerships and marshalling expertise.</w:t>
                        </w:r>
                      </w:p>
                    </w:txbxContent>
                  </v:textbox>
                </v:roundrect>
                <v:roundrect id="Rounded Rectangle 136" o:spid="_x0000_s1037" style="position:absolute;left:24860;top:5905;width:38817;height:28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Q4sIA&#10;AADcAAAADwAAAGRycy9kb3ducmV2LnhtbERPS2vCQBC+F/oflil4qxsrSImu4oOKp0ITQY9Ddkyi&#10;2dmwu5ror+8WCt7m43vObNGbRtzI+dqygtEwAUFcWF1zqWCff71/gvABWWNjmRTcycNi/voyw1Tb&#10;jn/oloVSxBD2KSqoQmhTKX1RkUE/tC1x5E7WGQwRulJqh10MN438SJKJNFhzbKiwpXVFxSW7GgWb&#10;lbsft+fD3mV8yPJLl7vH91mpwVu/nIII1Ien+N+903H+eAJ/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5DiwgAAANwAAAAPAAAAAAAAAAAAAAAAAJgCAABkcnMvZG93&#10;bnJldi54bWxQSwUGAAAAAAQABAD1AAAAhwMAAAAA&#10;" fillcolor="#8a043d" strokecolor="white [3212]" strokeweight="2.25pt">
                  <v:textbox inset=",1mm,,1mm">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4D56F3">
                          <w:t>Establish trusted partnerships that promote innovation, interoperability, consultation and knowledge transfer across the emergency management sector.</w:t>
                        </w:r>
                      </w:p>
                      <w:p w:rsidR="00797F44" w:rsidRPr="004D56F3" w:rsidRDefault="00797F44" w:rsidP="00B40B59">
                        <w:pPr>
                          <w:pStyle w:val="ListParagraph"/>
                          <w:numPr>
                            <w:ilvl w:val="0"/>
                            <w:numId w:val="17"/>
                          </w:numPr>
                          <w:spacing w:before="0" w:after="0"/>
                        </w:pPr>
                        <w:r w:rsidRPr="004D56F3">
                          <w:t>Develop and enhance platforms for engagement that connect stakeholders and enable timely and open communication.</w:t>
                        </w:r>
                      </w:p>
                      <w:p w:rsidR="00797F44" w:rsidRPr="004D56F3" w:rsidRDefault="00797F44" w:rsidP="00B40B59">
                        <w:pPr>
                          <w:pStyle w:val="ListParagraph"/>
                          <w:numPr>
                            <w:ilvl w:val="0"/>
                            <w:numId w:val="17"/>
                          </w:numPr>
                          <w:spacing w:before="0" w:after="0"/>
                        </w:pPr>
                        <w:r w:rsidRPr="004D56F3">
                          <w:t>Ensure lessons identified, research and good practice are contextuali</w:t>
                        </w:r>
                        <w:r>
                          <w:t>s</w:t>
                        </w:r>
                        <w:r w:rsidRPr="004D56F3">
                          <w:t>ed for Queensland and integrated into emergency management standards and practice.</w:t>
                        </w:r>
                      </w:p>
                      <w:p w:rsidR="00797F44" w:rsidRPr="00161F25" w:rsidRDefault="00797F44" w:rsidP="00B40B59">
                        <w:pPr>
                          <w:pStyle w:val="ListParagraph"/>
                          <w:numPr>
                            <w:ilvl w:val="0"/>
                            <w:numId w:val="17"/>
                          </w:numPr>
                          <w:spacing w:before="0" w:after="0"/>
                          <w:rPr>
                            <w:rFonts w:eastAsia="+mn-ea"/>
                            <w:color w:val="FFFFFF" w:themeColor="background1"/>
                            <w:kern w:val="0"/>
                            <w:szCs w:val="22"/>
                            <w:lang w:eastAsia="en-AU"/>
                          </w:rPr>
                        </w:pPr>
                        <w:r w:rsidRPr="004D56F3">
                          <w:t>Develop and enhance links between emergency management and interdependent policy and programs.</w:t>
                        </w:r>
                      </w:p>
                    </w:txbxContent>
                  </v:textbox>
                </v:roundrect>
              </v:group>
            </w:pict>
          </mc:Fallback>
        </mc:AlternateContent>
      </w:r>
    </w:p>
    <w:p w:rsidR="0041644D" w:rsidRDefault="0041644D" w:rsidP="000F164D">
      <w:pPr>
        <w:rPr>
          <w:rFonts w:eastAsia="Calibri"/>
          <w:i/>
          <w:szCs w:val="22"/>
          <w:highlight w:val="yellow"/>
        </w:rPr>
      </w:pPr>
    </w:p>
    <w:p w:rsidR="0041644D" w:rsidRDefault="0041644D" w:rsidP="000F164D">
      <w:pPr>
        <w:rPr>
          <w:rFonts w:eastAsia="Calibri"/>
          <w:i/>
          <w:szCs w:val="22"/>
          <w:highlight w:val="yellow"/>
        </w:rPr>
      </w:pPr>
    </w:p>
    <w:p w:rsidR="0041644D" w:rsidRDefault="0041644D" w:rsidP="000F164D">
      <w:pPr>
        <w:rPr>
          <w:rFonts w:eastAsia="Calibri"/>
          <w:i/>
          <w:szCs w:val="22"/>
          <w:highlight w:val="yellow"/>
        </w:rPr>
      </w:pPr>
    </w:p>
    <w:p w:rsidR="0041644D" w:rsidRDefault="0041644D" w:rsidP="000F164D">
      <w:pPr>
        <w:rPr>
          <w:rFonts w:eastAsia="Calibri"/>
          <w:i/>
          <w:szCs w:val="22"/>
          <w:highlight w:val="yellow"/>
        </w:rPr>
      </w:pPr>
    </w:p>
    <w:p w:rsidR="0041644D" w:rsidRPr="00126F4C" w:rsidRDefault="0041644D" w:rsidP="000F164D">
      <w:pPr>
        <w:rPr>
          <w:rFonts w:eastAsia="Calibri"/>
          <w: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EA3335" w:rsidRPr="005B1B38" w:rsidRDefault="00EA3335" w:rsidP="005B1B38">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Accountabilities in practice</w:t>
      </w:r>
    </w:p>
    <w:p w:rsidR="00EA3335" w:rsidRDefault="00EA3335" w:rsidP="00EA3335">
      <w:pPr>
        <w:tabs>
          <w:tab w:val="left" w:pos="567"/>
          <w:tab w:val="left" w:pos="1107"/>
        </w:tabs>
      </w:pPr>
      <w:r w:rsidRPr="00C52DD2">
        <w:t>During the reporting period</w:t>
      </w:r>
      <w:r w:rsidRPr="00F07FA3">
        <w:t>,</w:t>
      </w:r>
      <w:r w:rsidRPr="004D56F3">
        <w:t xml:space="preserve"> the Office of the IGEM developed the </w:t>
      </w:r>
      <w:r>
        <w:t>‘</w:t>
      </w:r>
      <w:r w:rsidRPr="004D56F3">
        <w:t>Accountabilities in practice</w:t>
      </w:r>
      <w:r>
        <w:t>’</w:t>
      </w:r>
      <w:r w:rsidRPr="004D56F3">
        <w:t xml:space="preserve"> fact sheet series to assist disaster management practitioners </w:t>
      </w:r>
      <w:r>
        <w:t xml:space="preserve">to </w:t>
      </w:r>
      <w:r w:rsidRPr="004D56F3">
        <w:t>review and assess their disaster management arrangements</w:t>
      </w:r>
      <w:r>
        <w:t xml:space="preserve"> against the Standard.</w:t>
      </w:r>
      <w:r w:rsidRPr="004D56F3">
        <w:t xml:space="preserve"> </w:t>
      </w:r>
    </w:p>
    <w:p w:rsidR="00EA3335" w:rsidRPr="004D56F3" w:rsidRDefault="00EA3335" w:rsidP="00EA3335">
      <w:pPr>
        <w:tabs>
          <w:tab w:val="left" w:pos="567"/>
          <w:tab w:val="left" w:pos="1107"/>
        </w:tabs>
      </w:pPr>
      <w:r w:rsidRPr="004D56F3">
        <w:t>The fact sheets contribute to building excellence in disaster management by sharing knowledge and examples of good practice</w:t>
      </w:r>
      <w:r>
        <w:t xml:space="preserve"> for each of the Standard’s accountabilities, against each of the shared responsibilities’ components</w:t>
      </w:r>
      <w:r w:rsidR="00F24BB9">
        <w:t xml:space="preserve">. </w:t>
      </w:r>
    </w:p>
    <w:p w:rsidR="00EA3335" w:rsidRDefault="00EA3335" w:rsidP="00EA3335">
      <w:pPr>
        <w:tabs>
          <w:tab w:val="left" w:pos="567"/>
          <w:tab w:val="left" w:pos="1107"/>
        </w:tabs>
      </w:pPr>
      <w:r w:rsidRPr="004D56F3">
        <w:t xml:space="preserve">The fact sheets </w:t>
      </w:r>
      <w:r>
        <w:t>are</w:t>
      </w:r>
      <w:r w:rsidRPr="004D56F3">
        <w:t xml:space="preserve"> read in conjunction with th</w:t>
      </w:r>
      <w:r w:rsidR="00F5524A">
        <w:t xml:space="preserve">e Standard and are available at: </w:t>
      </w:r>
      <w:hyperlink r:id="rId65" w:history="1">
        <w:r w:rsidR="00C935C0">
          <w:rPr>
            <w:rStyle w:val="Hyperlink"/>
            <w:color w:val="AB054C"/>
          </w:rPr>
          <w:t>www.igem.qld.gov.au/assurance-framework/Pages/Accountabilities-in-practice.aspx</w:t>
        </w:r>
      </w:hyperlink>
      <w:r w:rsidR="008C6991">
        <w:t>.</w:t>
      </w:r>
    </w:p>
    <w:p w:rsidR="00D83C42" w:rsidRPr="005B1B38" w:rsidRDefault="00D83C42" w:rsidP="00D83C42">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 xml:space="preserve">Data sharing </w:t>
      </w:r>
    </w:p>
    <w:p w:rsidR="00D83C42" w:rsidRPr="004D56F3" w:rsidRDefault="00D83C42" w:rsidP="00D83C42">
      <w:pPr>
        <w:tabs>
          <w:tab w:val="left" w:pos="567"/>
          <w:tab w:val="left" w:pos="1107"/>
        </w:tabs>
      </w:pPr>
      <w:r w:rsidRPr="004D56F3">
        <w:t xml:space="preserve">The Office of the IGEM aims to develop and enhance links between emergency management and interdependent policy and program platforms that connect stakeholders and enable timely and open communication. </w:t>
      </w:r>
    </w:p>
    <w:p w:rsidR="00D83C42" w:rsidRDefault="00D83C42" w:rsidP="00D83C42">
      <w:pPr>
        <w:tabs>
          <w:tab w:val="left" w:pos="567"/>
          <w:tab w:val="left" w:pos="1107"/>
        </w:tabs>
      </w:pPr>
      <w:r w:rsidRPr="00643846">
        <w:t>Between</w:t>
      </w:r>
      <w:r w:rsidRPr="00B8496A">
        <w:t xml:space="preserve"> October 2014 and December </w:t>
      </w:r>
      <w:r w:rsidRPr="008C3D87">
        <w:t xml:space="preserve">2015, the Office of the IGEM worked with cross-sector stakeholders </w:t>
      </w:r>
      <w:r w:rsidRPr="00FB7D7C">
        <w:t xml:space="preserve">to establish a </w:t>
      </w:r>
      <w:r>
        <w:t xml:space="preserve">pilot </w:t>
      </w:r>
      <w:r w:rsidRPr="00FB7D7C">
        <w:t xml:space="preserve">solution to </w:t>
      </w:r>
      <w:r>
        <w:t xml:space="preserve">address </w:t>
      </w:r>
      <w:r w:rsidRPr="00FB7D7C">
        <w:t xml:space="preserve">issues of data sharing during emergency events. </w:t>
      </w:r>
      <w:r w:rsidRPr="00102FAF">
        <w:t xml:space="preserve">The Office of the IGEM continues to </w:t>
      </w:r>
      <w:r w:rsidRPr="00F8050C">
        <w:t>work and collaborate with agencies to explore</w:t>
      </w:r>
      <w:r w:rsidRPr="004E71B4">
        <w:t xml:space="preserve"> solutions that promote innovation, interoperability, consultation and knowledge transfer across the emergency management</w:t>
      </w:r>
      <w:r>
        <w:t xml:space="preserve"> sector.</w:t>
      </w:r>
      <w:r w:rsidRPr="004E71B4">
        <w:t xml:space="preserve"> </w:t>
      </w:r>
    </w:p>
    <w:p w:rsidR="005D39C6" w:rsidRDefault="005D39C6">
      <w:pPr>
        <w:rPr>
          <w:b/>
          <w:bCs/>
        </w:rPr>
      </w:pPr>
      <w:r>
        <w:rPr>
          <w:b/>
          <w:bCs/>
        </w:rPr>
        <w:br w:type="page"/>
      </w:r>
    </w:p>
    <w:p w:rsidR="001D5782" w:rsidRDefault="001D5782" w:rsidP="001D5782">
      <w:pPr>
        <w:pStyle w:val="BodyText"/>
        <w:rPr>
          <w:b/>
          <w:bCs/>
        </w:rPr>
      </w:pPr>
      <w:r>
        <w:rPr>
          <w:b/>
          <w:bCs/>
        </w:rPr>
        <w:lastRenderedPageBreak/>
        <w:t xml:space="preserve">Disability Service Plan 2014-2016  </w:t>
      </w:r>
    </w:p>
    <w:p w:rsidR="001D5782" w:rsidRDefault="001D5782" w:rsidP="001D5782">
      <w:pPr>
        <w:pStyle w:val="BodyText"/>
      </w:pPr>
      <w:r>
        <w:t xml:space="preserve">In accordance with the </w:t>
      </w:r>
      <w:r>
        <w:rPr>
          <w:i/>
          <w:iCs/>
        </w:rPr>
        <w:t xml:space="preserve">Disability Services Act 2006, </w:t>
      </w:r>
      <w:r w:rsidRPr="005631F3">
        <w:rPr>
          <w:iCs/>
        </w:rPr>
        <w:t>e</w:t>
      </w:r>
      <w:r>
        <w:t xml:space="preserve">ach Queensland Government agency is required to develop a disability service plan that includes actions to deliver the </w:t>
      </w:r>
      <w:r>
        <w:rPr>
          <w:i/>
          <w:iCs/>
        </w:rPr>
        <w:t>Queensland Disability Plan 2014</w:t>
      </w:r>
      <w:r>
        <w:rPr>
          <w:i/>
          <w:iCs/>
        </w:rPr>
        <w:noBreakHyphen/>
        <w:t>19: Enabling choices and opportunities</w:t>
      </w:r>
      <w:r>
        <w:t xml:space="preserve"> (the Queensland disability plan). The Queensland disability plan details priority areas which underpin the government’s vision of a community that is inclusive of all citizens and where people with a disability are enabled to lead valued and fulfilling lives. </w:t>
      </w:r>
    </w:p>
    <w:p w:rsidR="001D5782" w:rsidRDefault="001D5782" w:rsidP="001D5782">
      <w:pPr>
        <w:pStyle w:val="BodyText"/>
      </w:pPr>
      <w:r>
        <w:t xml:space="preserve">The </w:t>
      </w:r>
      <w:r>
        <w:rPr>
          <w:i/>
          <w:iCs/>
        </w:rPr>
        <w:t>Public Safety Portfolio Disability Services Plan 2014-2016</w:t>
      </w:r>
      <w:r>
        <w:t xml:space="preserve"> (the portfolio plan), released in September 2014, includes actions for the development and improvement of services that are responsive to the needs of clients and members with a disability and their families and carers. The portfolio plan seeks to educate, inform and engage with Queenslanders with a disability to reduce the rate and impact of public safety incidents including crimes, road crashes and fires. During the reporting period, the public safety portfolio agencies continued to work with Queenslanders with a disability to build resilient communities and ensure community preparedness for disaster events.</w:t>
      </w:r>
    </w:p>
    <w:p w:rsidR="00EA3335" w:rsidRPr="005B1B38" w:rsidRDefault="00EA3335" w:rsidP="005B1B38">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Disaster Management Officer Network</w:t>
      </w:r>
    </w:p>
    <w:p w:rsidR="00EA3335" w:rsidRPr="004D56F3" w:rsidRDefault="00EA3335" w:rsidP="00EA3335">
      <w:pPr>
        <w:tabs>
          <w:tab w:val="left" w:pos="567"/>
          <w:tab w:val="left" w:pos="1107"/>
        </w:tabs>
      </w:pPr>
      <w:r w:rsidRPr="004D56F3">
        <w:t xml:space="preserve">A statewide network of disaster management officers </w:t>
      </w:r>
      <w:r>
        <w:t xml:space="preserve">and local disaster coordinators </w:t>
      </w:r>
      <w:r w:rsidRPr="004D56F3">
        <w:t xml:space="preserve">was established in </w:t>
      </w:r>
      <w:r w:rsidRPr="00D63C89">
        <w:t>November 2015</w:t>
      </w:r>
      <w:r w:rsidRPr="004D56F3">
        <w:t xml:space="preserve"> to provide </w:t>
      </w:r>
      <w:r>
        <w:t xml:space="preserve">a peer-driven network of local disaster management practitioners to share knowledge and resources; develop ideas; learn from the experience of others; and to collaboratively identify and develop best practice. </w:t>
      </w:r>
    </w:p>
    <w:p w:rsidR="00EA3335" w:rsidRPr="00C52DD2" w:rsidRDefault="00EA3335" w:rsidP="00EA3335">
      <w:pPr>
        <w:pStyle w:val="ListParagraph"/>
        <w:ind w:left="0"/>
        <w:contextualSpacing w:val="0"/>
      </w:pPr>
      <w:r w:rsidRPr="00C52DD2">
        <w:t xml:space="preserve">The </w:t>
      </w:r>
      <w:r>
        <w:t xml:space="preserve">Office of the IGEM coordinates the </w:t>
      </w:r>
      <w:r w:rsidR="00F5524A">
        <w:t>D</w:t>
      </w:r>
      <w:r>
        <w:t xml:space="preserve">isaster </w:t>
      </w:r>
      <w:r w:rsidR="00F5524A">
        <w:t>M</w:t>
      </w:r>
      <w:r>
        <w:t xml:space="preserve">anagement </w:t>
      </w:r>
      <w:r w:rsidR="00F5524A">
        <w:t>O</w:t>
      </w:r>
      <w:r>
        <w:t xml:space="preserve">fficer (DMO) </w:t>
      </w:r>
      <w:r w:rsidR="00F5524A">
        <w:t>N</w:t>
      </w:r>
      <w:r>
        <w:t xml:space="preserve">etwork in collaboration with a working group comprising eight senior disaster management practitioners from across Queensland. </w:t>
      </w:r>
    </w:p>
    <w:p w:rsidR="00EA3335" w:rsidRDefault="00EA3335" w:rsidP="00EA3335">
      <w:pPr>
        <w:pStyle w:val="ListParagraph"/>
        <w:ind w:left="0"/>
        <w:contextualSpacing w:val="0"/>
      </w:pPr>
      <w:r w:rsidRPr="00C52DD2">
        <w:t xml:space="preserve">The </w:t>
      </w:r>
      <w:r>
        <w:t xml:space="preserve">DMO </w:t>
      </w:r>
      <w:r w:rsidR="00F5524A">
        <w:t>N</w:t>
      </w:r>
      <w:r w:rsidRPr="00C52DD2">
        <w:t xml:space="preserve">etwork comprises </w:t>
      </w:r>
      <w:r>
        <w:t xml:space="preserve">71 officers from 51 local governments and one member from the Local Government Association of Queensland. </w:t>
      </w:r>
    </w:p>
    <w:p w:rsidR="00EA3335" w:rsidRDefault="00EA3335" w:rsidP="00EA3335">
      <w:pPr>
        <w:pStyle w:val="ListParagraph"/>
        <w:ind w:left="0"/>
        <w:contextualSpacing w:val="0"/>
      </w:pPr>
      <w:r>
        <w:t xml:space="preserve">Three DMO </w:t>
      </w:r>
      <w:r w:rsidR="00F5524A">
        <w:t>N</w:t>
      </w:r>
      <w:r>
        <w:t>etwork</w:t>
      </w:r>
      <w:r w:rsidRPr="004D56F3">
        <w:t xml:space="preserve"> teleconference</w:t>
      </w:r>
      <w:r>
        <w:t>s</w:t>
      </w:r>
      <w:r w:rsidRPr="004D56F3">
        <w:t xml:space="preserve"> </w:t>
      </w:r>
      <w:r>
        <w:t>have been</w:t>
      </w:r>
      <w:r w:rsidRPr="004D56F3">
        <w:t xml:space="preserve"> held </w:t>
      </w:r>
      <w:r>
        <w:t>since</w:t>
      </w:r>
      <w:r w:rsidRPr="004D56F3">
        <w:t xml:space="preserve"> November 2015</w:t>
      </w:r>
      <w:r>
        <w:t>. The teleconferences include guest speakers, peer-driven panels on disaster management topics, discussions regarding opportunities for local improvement and good practice, and resource sharing and collaboration.</w:t>
      </w:r>
    </w:p>
    <w:p w:rsidR="00EA3335" w:rsidRDefault="00EA3335" w:rsidP="00EA3335">
      <w:pPr>
        <w:pStyle w:val="ListParagraph"/>
        <w:ind w:left="0"/>
        <w:contextualSpacing w:val="0"/>
      </w:pPr>
      <w:r>
        <w:t>T</w:t>
      </w:r>
      <w:r w:rsidRPr="004D56F3">
        <w:t xml:space="preserve">he inaugural </w:t>
      </w:r>
      <w:r>
        <w:t xml:space="preserve">DMO </w:t>
      </w:r>
      <w:r w:rsidR="00F5524A">
        <w:t>N</w:t>
      </w:r>
      <w:r>
        <w:t xml:space="preserve">etwork </w:t>
      </w:r>
      <w:r w:rsidRPr="004D56F3">
        <w:t xml:space="preserve">forum was held in Cairns </w:t>
      </w:r>
      <w:r>
        <w:t xml:space="preserve">from 4 to 6 </w:t>
      </w:r>
      <w:r w:rsidRPr="004D56F3">
        <w:t>May 2016</w:t>
      </w:r>
      <w:r>
        <w:t xml:space="preserve"> and attended by 67 people from local governments, state agencies and private and non-government organisations</w:t>
      </w:r>
      <w:r w:rsidRPr="004D56F3">
        <w:t xml:space="preserve">. </w:t>
      </w:r>
      <w:r>
        <w:t xml:space="preserve">The forum included 23 presentations and panel discussions on disaster management topics. Formal evaluation feedback from attendees indicated that the majority valued the network and forum, and the contribution these activities made to strengthening local disaster management knowledge, expertise, and operational ability and capacity. </w:t>
      </w:r>
    </w:p>
    <w:p w:rsidR="00EA3335" w:rsidRPr="004D56F3" w:rsidRDefault="00EA3335" w:rsidP="00EA3335">
      <w:pPr>
        <w:pStyle w:val="ListParagraph"/>
        <w:ind w:left="0"/>
        <w:contextualSpacing w:val="0"/>
      </w:pPr>
      <w:r w:rsidRPr="00E85A4D">
        <w:t xml:space="preserve">In support of the </w:t>
      </w:r>
      <w:r>
        <w:t xml:space="preserve">DMO </w:t>
      </w:r>
      <w:r w:rsidR="00F5524A">
        <w:t>N</w:t>
      </w:r>
      <w:r w:rsidRPr="00E85A4D">
        <w:t xml:space="preserve">etwork, the Office of the IGEM introduced a common, secure online platform to encourage discussion and </w:t>
      </w:r>
      <w:r>
        <w:t xml:space="preserve">share </w:t>
      </w:r>
      <w:r w:rsidRPr="00E85A4D">
        <w:t>resource</w:t>
      </w:r>
      <w:r>
        <w:t>s</w:t>
      </w:r>
      <w:r w:rsidRPr="00E85A4D">
        <w:t xml:space="preserve"> and best practice</w:t>
      </w:r>
      <w:r w:rsidR="00F24BB9">
        <w:t>.</w:t>
      </w:r>
    </w:p>
    <w:p w:rsidR="007E6734" w:rsidRPr="005B1B38" w:rsidRDefault="007E6734" w:rsidP="007E6734">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GovHack 2015</w:t>
      </w:r>
    </w:p>
    <w:p w:rsidR="007E6734" w:rsidRPr="004D56F3" w:rsidRDefault="007E6734" w:rsidP="007E6734">
      <w:pPr>
        <w:tabs>
          <w:tab w:val="left" w:pos="567"/>
          <w:tab w:val="left" w:pos="1107"/>
        </w:tabs>
      </w:pPr>
      <w:r w:rsidRPr="004D56F3">
        <w:t xml:space="preserve">GovHack is an annual event in Australia </w:t>
      </w:r>
      <w:r>
        <w:t xml:space="preserve">and New Zealand </w:t>
      </w:r>
      <w:r w:rsidRPr="004D56F3">
        <w:t>that brings together application developers and data providers in competition to find innovative ways to use and promote government data</w:t>
      </w:r>
      <w:r>
        <w:t xml:space="preserve">. </w:t>
      </w:r>
    </w:p>
    <w:p w:rsidR="007E6734" w:rsidRPr="004D56F3" w:rsidRDefault="007E6734" w:rsidP="007E6734">
      <w:pPr>
        <w:tabs>
          <w:tab w:val="left" w:pos="567"/>
          <w:tab w:val="left" w:pos="1107"/>
        </w:tabs>
      </w:pPr>
      <w:r w:rsidRPr="00F07FA3">
        <w:t xml:space="preserve">In </w:t>
      </w:r>
      <w:r w:rsidRPr="00C52DD2">
        <w:t>July 2015</w:t>
      </w:r>
      <w:r w:rsidRPr="00F07FA3">
        <w:t>,</w:t>
      </w:r>
      <w:r w:rsidRPr="004D56F3">
        <w:t xml:space="preserve"> the Office of the IGEM and the Department of Natural Resources and Mines issued a joint </w:t>
      </w:r>
      <w:r>
        <w:t xml:space="preserve">disaster preparedness </w:t>
      </w:r>
      <w:r w:rsidRPr="004D56F3">
        <w:t>challenge</w:t>
      </w:r>
      <w:r>
        <w:t>:</w:t>
      </w:r>
      <w:r w:rsidRPr="004D56F3">
        <w:t xml:space="preserve"> Help your community </w:t>
      </w:r>
      <w:r>
        <w:t>get ready for times of emergency and disaster.</w:t>
      </w:r>
      <w:r w:rsidRPr="004D56F3">
        <w:t xml:space="preserve"> The purpose of the challenge was to encourage the digital community to devise new ways to notify people about hazards in their area and services that can help. </w:t>
      </w:r>
    </w:p>
    <w:p w:rsidR="007E6734" w:rsidRPr="00C52DD2" w:rsidRDefault="007E6734" w:rsidP="007E6734">
      <w:pPr>
        <w:tabs>
          <w:tab w:val="left" w:pos="567"/>
          <w:tab w:val="left" w:pos="1107"/>
        </w:tabs>
      </w:pPr>
      <w:r w:rsidRPr="004D56F3">
        <w:t xml:space="preserve">More than 1,300 individuals participated in Queensland’s </w:t>
      </w:r>
      <w:r w:rsidRPr="008E421D">
        <w:t>GovHack 2015</w:t>
      </w:r>
      <w:r w:rsidRPr="008B7FD9">
        <w:rPr>
          <w:color w:val="AB054C"/>
        </w:rPr>
        <w:t xml:space="preserve"> </w:t>
      </w:r>
      <w:r w:rsidRPr="004D56F3">
        <w:t>event which was held over three days</w:t>
      </w:r>
      <w:r>
        <w:t xml:space="preserve"> (July 2015)</w:t>
      </w:r>
      <w:r w:rsidRPr="004D56F3">
        <w:t>.</w:t>
      </w:r>
      <w:r>
        <w:t xml:space="preserve"> </w:t>
      </w:r>
      <w:r w:rsidRPr="00C52DD2">
        <w:t xml:space="preserve">The challenge attracted 16 entries and resulted in some imaginative and innovative resilience-oriented solutions that also contributed to the </w:t>
      </w:r>
      <w:r>
        <w:t>g</w:t>
      </w:r>
      <w:r w:rsidRPr="00C52DD2">
        <w:t>overnment’s wider agenda of sharing data</w:t>
      </w:r>
      <w:r>
        <w:t>.</w:t>
      </w:r>
      <w:r w:rsidRPr="00C52DD2">
        <w:t xml:space="preserve"> </w:t>
      </w:r>
    </w:p>
    <w:p w:rsidR="007E6734" w:rsidRPr="008B2F28" w:rsidRDefault="007E6734" w:rsidP="007E6734">
      <w:pPr>
        <w:tabs>
          <w:tab w:val="left" w:pos="567"/>
          <w:tab w:val="left" w:pos="1107"/>
        </w:tabs>
        <w:rPr>
          <w:color w:val="548DD4"/>
        </w:rPr>
      </w:pPr>
      <w:r w:rsidRPr="00C52DD2">
        <w:t xml:space="preserve">The results of this and other Queensland government challenges can be viewed on the Queensland Government data website </w:t>
      </w:r>
      <w:hyperlink r:id="rId66" w:history="1">
        <w:r w:rsidRPr="008E421D">
          <w:rPr>
            <w:color w:val="AB054C"/>
            <w:u w:val="single"/>
          </w:rPr>
          <w:t>https://data.qld.gov.au/data-event/govhack/2015</w:t>
        </w:r>
      </w:hyperlink>
      <w:r w:rsidRPr="008B2F28">
        <w:rPr>
          <w:color w:val="548DD4"/>
        </w:rPr>
        <w:t>.</w:t>
      </w:r>
    </w:p>
    <w:p w:rsidR="00D83C42" w:rsidRPr="005B1B38" w:rsidRDefault="00D83C42" w:rsidP="00D83C42">
      <w:pPr>
        <w:tabs>
          <w:tab w:val="left" w:pos="567"/>
          <w:tab w:val="left" w:pos="1107"/>
        </w:tabs>
        <w:spacing w:line="259" w:lineRule="auto"/>
        <w:ind w:right="1374"/>
        <w:rPr>
          <w:rFonts w:eastAsia="Calibri"/>
          <w:b/>
          <w:i/>
          <w:kern w:val="0"/>
          <w:szCs w:val="22"/>
          <w:lang w:val="en-AU" w:eastAsia="en-US"/>
        </w:rPr>
      </w:pPr>
      <w:r w:rsidRPr="005B1B38">
        <w:rPr>
          <w:rFonts w:eastAsia="Calibri"/>
          <w:b/>
          <w:i/>
          <w:kern w:val="0"/>
          <w:szCs w:val="22"/>
          <w:lang w:val="en-AU" w:eastAsia="en-US"/>
        </w:rPr>
        <w:lastRenderedPageBreak/>
        <w:t>IGEM Connect</w:t>
      </w:r>
    </w:p>
    <w:p w:rsidR="00D83C42" w:rsidRPr="008B7FD9" w:rsidRDefault="00D83C42" w:rsidP="00D83C42">
      <w:pPr>
        <w:tabs>
          <w:tab w:val="left" w:pos="567"/>
          <w:tab w:val="left" w:pos="1107"/>
        </w:tabs>
        <w:rPr>
          <w:color w:val="AB054C"/>
        </w:rPr>
      </w:pPr>
      <w:r w:rsidRPr="004D56F3">
        <w:t xml:space="preserve">The Office of the IGEM developed an online newsletter </w:t>
      </w:r>
      <w:r w:rsidRPr="004D56F3">
        <w:rPr>
          <w:i/>
        </w:rPr>
        <w:t>IGEM Connect</w:t>
      </w:r>
      <w:r w:rsidRPr="004D56F3">
        <w:t xml:space="preserve"> </w:t>
      </w:r>
      <w:r w:rsidRPr="00C52DD2">
        <w:t xml:space="preserve">to </w:t>
      </w:r>
      <w:r w:rsidRPr="00F07FA3">
        <w:t xml:space="preserve">inform all stakeholders of IGEM activities, initiatives and future direction, and distributed </w:t>
      </w:r>
      <w:r w:rsidRPr="00C52DD2">
        <w:t>five editions</w:t>
      </w:r>
      <w:r w:rsidRPr="00F07FA3">
        <w:t xml:space="preserve"> during the reporting period to </w:t>
      </w:r>
      <w:r w:rsidRPr="00C52DD2">
        <w:t xml:space="preserve">more than 1,200 stakeholders. The first edition of </w:t>
      </w:r>
      <w:r w:rsidRPr="00C52DD2">
        <w:rPr>
          <w:i/>
        </w:rPr>
        <w:t>IGEM Connect</w:t>
      </w:r>
      <w:r w:rsidRPr="00C52DD2">
        <w:t xml:space="preserve"> was published in September 2015</w:t>
      </w:r>
      <w:r>
        <w:t xml:space="preserve">. The newsletter </w:t>
      </w:r>
      <w:r w:rsidRPr="00C52DD2">
        <w:t xml:space="preserve">is published </w:t>
      </w:r>
      <w:r w:rsidRPr="00F07FA3">
        <w:t>on average every six weeks and is available</w:t>
      </w:r>
      <w:r>
        <w:t xml:space="preserve"> at: </w:t>
      </w:r>
      <w:hyperlink r:id="rId67" w:history="1">
        <w:r w:rsidR="00C935C0" w:rsidRPr="00B839E2">
          <w:rPr>
            <w:rStyle w:val="Hyperlink"/>
            <w:color w:val="AB054C"/>
          </w:rPr>
          <w:t>www.igem.qld.gov.au/reports-and-publications/Pages/Newsletters.aspx</w:t>
        </w:r>
      </w:hyperlink>
      <w:r w:rsidRPr="00B839E2">
        <w:t>.</w:t>
      </w:r>
    </w:p>
    <w:p w:rsidR="00EA3335" w:rsidRPr="005B1B38" w:rsidRDefault="00EA3335" w:rsidP="002335C3">
      <w:pPr>
        <w:tabs>
          <w:tab w:val="left" w:pos="567"/>
          <w:tab w:val="left" w:pos="1107"/>
        </w:tabs>
        <w:spacing w:line="259" w:lineRule="auto"/>
        <w:rPr>
          <w:rFonts w:eastAsia="Calibri"/>
          <w:b/>
          <w:kern w:val="0"/>
          <w:szCs w:val="22"/>
          <w:lang w:val="en-AU" w:eastAsia="en-US"/>
        </w:rPr>
      </w:pPr>
      <w:r w:rsidRPr="005B1B38">
        <w:rPr>
          <w:rFonts w:eastAsia="Calibri"/>
          <w:b/>
          <w:kern w:val="0"/>
          <w:szCs w:val="22"/>
          <w:lang w:val="en-AU" w:eastAsia="en-US"/>
        </w:rPr>
        <w:t>Inspector-General Emergency Management Advisory Panel</w:t>
      </w:r>
    </w:p>
    <w:p w:rsidR="00EA3335" w:rsidRDefault="00EA3335" w:rsidP="00EA3335">
      <w:pPr>
        <w:tabs>
          <w:tab w:val="left" w:pos="567"/>
          <w:tab w:val="left" w:pos="1107"/>
        </w:tabs>
      </w:pPr>
      <w:r w:rsidRPr="004D56F3">
        <w:t xml:space="preserve">An Advisory Panel was established in </w:t>
      </w:r>
      <w:r>
        <w:t>February 2016</w:t>
      </w:r>
      <w:r w:rsidRPr="004D56F3">
        <w:t xml:space="preserve"> to offer practical stakeholder comment and guidance </w:t>
      </w:r>
      <w:r>
        <w:t xml:space="preserve">to the </w:t>
      </w:r>
      <w:r w:rsidR="0040669E">
        <w:t>IGEM</w:t>
      </w:r>
      <w:r>
        <w:t xml:space="preserve"> on</w:t>
      </w:r>
      <w:r w:rsidRPr="004D56F3">
        <w:t xml:space="preserve"> a range of </w:t>
      </w:r>
      <w:r>
        <w:t xml:space="preserve">emergency management related </w:t>
      </w:r>
      <w:r w:rsidRPr="004D56F3">
        <w:t xml:space="preserve">activities. </w:t>
      </w:r>
    </w:p>
    <w:p w:rsidR="00EA3335" w:rsidRDefault="00EA3335" w:rsidP="00EA3335">
      <w:pPr>
        <w:tabs>
          <w:tab w:val="left" w:pos="567"/>
          <w:tab w:val="left" w:pos="1107"/>
        </w:tabs>
      </w:pPr>
      <w:r w:rsidRPr="004D56F3">
        <w:t xml:space="preserve">Panel members include representatives from the Department of the Premier and Cabinet; Department of Infrastructure, Local Government and Planning; Department of Communities, Child Safety and Disability Services; Local Government Association of Queensland; QFES; QPS; Australian Red Cross; </w:t>
      </w:r>
      <w:r w:rsidR="000420D0">
        <w:t xml:space="preserve">Queensland </w:t>
      </w:r>
      <w:r w:rsidRPr="004D56F3">
        <w:t>Health; Griffith University; Queensland University of Technology</w:t>
      </w:r>
      <w:r w:rsidR="008E421D">
        <w:t>;</w:t>
      </w:r>
      <w:r w:rsidRPr="004D56F3">
        <w:t xml:space="preserve"> and Brisbane City Council. The inaugural meeting of the Advisory Panel was held in February 2016</w:t>
      </w:r>
      <w:r w:rsidR="00F24BB9">
        <w:t xml:space="preserve">. </w:t>
      </w:r>
    </w:p>
    <w:p w:rsidR="00EA3335" w:rsidRPr="004D56F3" w:rsidRDefault="00EA3335" w:rsidP="00EA3335">
      <w:pPr>
        <w:tabs>
          <w:tab w:val="left" w:pos="567"/>
          <w:tab w:val="left" w:pos="1107"/>
        </w:tabs>
        <w:rPr>
          <w:b/>
        </w:rPr>
      </w:pPr>
      <w:r w:rsidRPr="004D56F3">
        <w:rPr>
          <w:b/>
        </w:rPr>
        <w:t xml:space="preserve">Lexicon </w:t>
      </w:r>
      <w:r>
        <w:rPr>
          <w:b/>
        </w:rPr>
        <w:t>p</w:t>
      </w:r>
      <w:r w:rsidRPr="004D56F3">
        <w:rPr>
          <w:b/>
        </w:rPr>
        <w:t>roject</w:t>
      </w:r>
    </w:p>
    <w:p w:rsidR="00EA3335" w:rsidRDefault="00EA3335" w:rsidP="00EA3335">
      <w:pPr>
        <w:tabs>
          <w:tab w:val="left" w:pos="567"/>
          <w:tab w:val="left" w:pos="1107"/>
        </w:tabs>
      </w:pPr>
      <w:r>
        <w:t>T</w:t>
      </w:r>
      <w:r w:rsidRPr="004D56F3">
        <w:t xml:space="preserve">he Office of the IGEM </w:t>
      </w:r>
      <w:r w:rsidR="002109B9">
        <w:t xml:space="preserve">made significant progress toward developing </w:t>
      </w:r>
      <w:r w:rsidRPr="004D56F3">
        <w:t>a common disaster management lexicon to provide common terminology, phraseology and definitions specific to Queensland</w:t>
      </w:r>
      <w:r w:rsidR="00F24BB9">
        <w:t xml:space="preserve">. </w:t>
      </w:r>
    </w:p>
    <w:p w:rsidR="00EA3335" w:rsidRPr="004D56F3" w:rsidRDefault="00EA3335" w:rsidP="00EA3335">
      <w:pPr>
        <w:tabs>
          <w:tab w:val="left" w:pos="567"/>
          <w:tab w:val="left" w:pos="1107"/>
        </w:tabs>
      </w:pPr>
      <w:r>
        <w:t xml:space="preserve">This </w:t>
      </w:r>
      <w:r w:rsidRPr="005E0CB8">
        <w:t xml:space="preserve">project is overseen by the IGEM Advisory Panel and </w:t>
      </w:r>
      <w:r>
        <w:t>driven</w:t>
      </w:r>
      <w:r w:rsidRPr="005E0CB8">
        <w:t xml:space="preserve"> by a dedicated </w:t>
      </w:r>
      <w:r>
        <w:t>w</w:t>
      </w:r>
      <w:r w:rsidRPr="005E0CB8">
        <w:t xml:space="preserve">orking </w:t>
      </w:r>
      <w:r>
        <w:t>g</w:t>
      </w:r>
      <w:r w:rsidRPr="005E0CB8">
        <w:t xml:space="preserve">roup </w:t>
      </w:r>
      <w:r>
        <w:t>of r</w:t>
      </w:r>
      <w:r w:rsidRPr="005E0CB8">
        <w:t xml:space="preserve">epresentatives </w:t>
      </w:r>
      <w:r>
        <w:t xml:space="preserve">nominated by the Advisory Panel members. </w:t>
      </w:r>
    </w:p>
    <w:p w:rsidR="00EA3335" w:rsidRPr="005B1B38" w:rsidRDefault="00EA3335" w:rsidP="005B1B38">
      <w:pPr>
        <w:tabs>
          <w:tab w:val="left" w:pos="567"/>
          <w:tab w:val="left" w:pos="1107"/>
        </w:tabs>
        <w:spacing w:line="259" w:lineRule="auto"/>
        <w:ind w:right="1374"/>
        <w:rPr>
          <w:rFonts w:eastAsia="Calibri"/>
          <w:b/>
          <w:kern w:val="0"/>
          <w:szCs w:val="22"/>
          <w:lang w:val="en-AU" w:eastAsia="en-US"/>
        </w:rPr>
      </w:pPr>
      <w:r w:rsidRPr="005B1B38">
        <w:rPr>
          <w:rFonts w:eastAsia="Calibri"/>
          <w:b/>
          <w:kern w:val="0"/>
          <w:szCs w:val="22"/>
          <w:lang w:val="en-AU" w:eastAsia="en-US"/>
        </w:rPr>
        <w:t>Queensland Strategy for Disaster Resilience</w:t>
      </w:r>
    </w:p>
    <w:p w:rsidR="00984FA2" w:rsidRPr="00FE55D6" w:rsidRDefault="00984FA2" w:rsidP="00984FA2">
      <w:pPr>
        <w:tabs>
          <w:tab w:val="left" w:pos="567"/>
          <w:tab w:val="left" w:pos="1107"/>
        </w:tabs>
      </w:pPr>
      <w:r w:rsidRPr="00B8496A">
        <w:t xml:space="preserve">The </w:t>
      </w:r>
      <w:r>
        <w:t xml:space="preserve">objectives of the </w:t>
      </w:r>
      <w:r w:rsidRPr="00F5406B">
        <w:rPr>
          <w:i/>
        </w:rPr>
        <w:t>Queensland Strategy for Disaster Resilience</w:t>
      </w:r>
      <w:r>
        <w:rPr>
          <w:rStyle w:val="FootnoteReference"/>
        </w:rPr>
        <w:footnoteReference w:id="2"/>
      </w:r>
      <w:r w:rsidRPr="00B8496A">
        <w:t>,</w:t>
      </w:r>
      <w:r w:rsidRPr="00FE55D6">
        <w:t xml:space="preserve"> released in June 2014, </w:t>
      </w:r>
      <w:r>
        <w:t xml:space="preserve">are to </w:t>
      </w:r>
      <w:r w:rsidRPr="00FE55D6">
        <w:t>build</w:t>
      </w:r>
      <w:r>
        <w:t xml:space="preserve"> </w:t>
      </w:r>
      <w:r w:rsidRPr="00FE55D6">
        <w:t>resilience against all hazards, to ensure resilience activities are aligned with government priorities and to make Queensland the most disaster resilient state in Australia.</w:t>
      </w:r>
    </w:p>
    <w:p w:rsidR="00984FA2" w:rsidRDefault="00984FA2" w:rsidP="00984FA2">
      <w:pPr>
        <w:tabs>
          <w:tab w:val="left" w:pos="567"/>
          <w:tab w:val="left" w:pos="1107"/>
        </w:tabs>
      </w:pPr>
      <w:r w:rsidRPr="00C52DD2">
        <w:t xml:space="preserve">Under the </w:t>
      </w:r>
      <w:r w:rsidR="00F5406B">
        <w:t>s</w:t>
      </w:r>
      <w:r w:rsidRPr="00C52DD2">
        <w:t xml:space="preserve">trategy, </w:t>
      </w:r>
      <w:r>
        <w:t xml:space="preserve">the Office of the </w:t>
      </w:r>
      <w:r w:rsidRPr="00C52DD2">
        <w:t>IGEM contributes to</w:t>
      </w:r>
      <w:r>
        <w:t xml:space="preserve"> i</w:t>
      </w:r>
      <w:r w:rsidRPr="00C52DD2">
        <w:t>mproved access to locally relevant knowledge about disaster risks</w:t>
      </w:r>
      <w:r>
        <w:t xml:space="preserve"> through:</w:t>
      </w:r>
    </w:p>
    <w:p w:rsidR="00984FA2" w:rsidRDefault="00984FA2" w:rsidP="00207679">
      <w:pPr>
        <w:pStyle w:val="BodyText"/>
        <w:widowControl w:val="0"/>
        <w:numPr>
          <w:ilvl w:val="0"/>
          <w:numId w:val="19"/>
        </w:numPr>
        <w:spacing w:before="60" w:after="60" w:line="251" w:lineRule="exact"/>
        <w:ind w:left="473" w:hanging="360"/>
      </w:pPr>
      <w:r w:rsidRPr="00C52DD2">
        <w:t>support</w:t>
      </w:r>
      <w:r>
        <w:t>ing</w:t>
      </w:r>
      <w:r w:rsidRPr="00C52DD2">
        <w:t xml:space="preserve"> actions to improve floodplain management</w:t>
      </w:r>
      <w:r>
        <w:t xml:space="preserve"> through the Office’s </w:t>
      </w:r>
      <w:r w:rsidRPr="00C52DD2">
        <w:t>recommendations</w:t>
      </w:r>
    </w:p>
    <w:p w:rsidR="00984FA2" w:rsidRDefault="00984FA2" w:rsidP="00207679">
      <w:pPr>
        <w:pStyle w:val="BodyText"/>
        <w:widowControl w:val="0"/>
        <w:numPr>
          <w:ilvl w:val="0"/>
          <w:numId w:val="19"/>
        </w:numPr>
        <w:spacing w:before="60" w:after="60" w:line="251" w:lineRule="exact"/>
        <w:ind w:left="473" w:hanging="360"/>
      </w:pPr>
      <w:r w:rsidRPr="00643846">
        <w:t>membership on the Queensland Flood Resilience Coordination Committee</w:t>
      </w:r>
    </w:p>
    <w:p w:rsidR="00984FA2" w:rsidRPr="00C52DD2" w:rsidRDefault="00984FA2" w:rsidP="00207679">
      <w:pPr>
        <w:pStyle w:val="BodyText"/>
        <w:widowControl w:val="0"/>
        <w:numPr>
          <w:ilvl w:val="0"/>
          <w:numId w:val="19"/>
        </w:numPr>
        <w:spacing w:before="60" w:after="60" w:line="251" w:lineRule="exact"/>
        <w:ind w:left="473" w:hanging="360"/>
      </w:pPr>
      <w:r w:rsidRPr="00643846">
        <w:t>produc</w:t>
      </w:r>
      <w:r>
        <w:t xml:space="preserve">ing </w:t>
      </w:r>
      <w:r w:rsidRPr="00643846">
        <w:t xml:space="preserve">fact sheets on hazard identifications and risk assessments to promote ‘Accountabilities in practice’. </w:t>
      </w:r>
    </w:p>
    <w:p w:rsidR="00984FA2" w:rsidRDefault="00F5406B" w:rsidP="00984FA2">
      <w:pPr>
        <w:tabs>
          <w:tab w:val="left" w:pos="567"/>
          <w:tab w:val="left" w:pos="1107"/>
        </w:tabs>
      </w:pPr>
      <w:r>
        <w:t>Under this strategy, t</w:t>
      </w:r>
      <w:r w:rsidR="00984FA2">
        <w:t xml:space="preserve">he Office </w:t>
      </w:r>
      <w:r>
        <w:t xml:space="preserve">of the IGEM </w:t>
      </w:r>
      <w:r w:rsidR="00984FA2">
        <w:t>also contributes to i</w:t>
      </w:r>
      <w:r w:rsidR="00984FA2" w:rsidRPr="00C52DD2">
        <w:t>mproved capacity of local governments and communities to plan and manage their local disaster preparedness plans and local human and social recovery plans following a disaster</w:t>
      </w:r>
      <w:r w:rsidR="0040669E">
        <w:t>.</w:t>
      </w:r>
    </w:p>
    <w:p w:rsidR="00F9603D" w:rsidRDefault="00F9603D">
      <w:pPr>
        <w:rPr>
          <w:rFonts w:eastAsia="Calibri"/>
          <w:b/>
          <w:kern w:val="0"/>
          <w:szCs w:val="22"/>
          <w:lang w:val="en-AU" w:eastAsia="en-US"/>
        </w:rPr>
      </w:pPr>
      <w:r>
        <w:rPr>
          <w:rFonts w:eastAsia="Calibri"/>
          <w:b/>
          <w:kern w:val="0"/>
          <w:szCs w:val="22"/>
          <w:lang w:val="en-AU" w:eastAsia="en-US"/>
        </w:rPr>
        <w:br w:type="page"/>
      </w:r>
    </w:p>
    <w:p w:rsidR="00EA3335" w:rsidRPr="005B1B38" w:rsidRDefault="00EA3335" w:rsidP="002335C3">
      <w:pPr>
        <w:tabs>
          <w:tab w:val="left" w:pos="567"/>
          <w:tab w:val="left" w:pos="1107"/>
        </w:tabs>
        <w:spacing w:line="259" w:lineRule="auto"/>
        <w:rPr>
          <w:rFonts w:eastAsia="Calibri"/>
          <w:b/>
          <w:kern w:val="0"/>
          <w:szCs w:val="22"/>
          <w:lang w:val="en-AU" w:eastAsia="en-US"/>
        </w:rPr>
      </w:pPr>
      <w:r w:rsidRPr="005B1B38">
        <w:rPr>
          <w:rFonts w:eastAsia="Calibri"/>
          <w:b/>
          <w:kern w:val="0"/>
          <w:szCs w:val="22"/>
          <w:lang w:val="en-AU" w:eastAsia="en-US"/>
        </w:rPr>
        <w:lastRenderedPageBreak/>
        <w:t>Vulnerable seniors living at home</w:t>
      </w:r>
    </w:p>
    <w:p w:rsidR="00EA3335" w:rsidRPr="004D56F3" w:rsidRDefault="00EA3335" w:rsidP="00EA3335">
      <w:pPr>
        <w:tabs>
          <w:tab w:val="left" w:pos="567"/>
          <w:tab w:val="left" w:pos="1107"/>
        </w:tabs>
      </w:pPr>
      <w:r w:rsidRPr="004D56F3">
        <w:t xml:space="preserve">The Office of the </w:t>
      </w:r>
      <w:r w:rsidRPr="00F07FA3">
        <w:t xml:space="preserve">IGEM </w:t>
      </w:r>
      <w:r w:rsidRPr="00C52DD2">
        <w:t xml:space="preserve">completed a </w:t>
      </w:r>
      <w:r>
        <w:t xml:space="preserve">collaborative </w:t>
      </w:r>
      <w:r w:rsidRPr="00C52DD2">
        <w:t xml:space="preserve">research study </w:t>
      </w:r>
      <w:r>
        <w:t xml:space="preserve">in 2015-16 with disaster management practitioners in the Wide Bay and North Burnett region, </w:t>
      </w:r>
      <w:r w:rsidRPr="00C52DD2">
        <w:t xml:space="preserve">focusing on disaster management arrangements regarding </w:t>
      </w:r>
      <w:r w:rsidRPr="00F07FA3">
        <w:t>vulnerable</w:t>
      </w:r>
      <w:r w:rsidRPr="004D56F3">
        <w:t xml:space="preserve"> </w:t>
      </w:r>
      <w:r>
        <w:t xml:space="preserve">seniors </w:t>
      </w:r>
      <w:r w:rsidRPr="004D56F3">
        <w:t>living in their own homes in the Wide Bay Burnett region.</w:t>
      </w:r>
      <w:r>
        <w:t xml:space="preserve"> This study was presented to national and international experts at the International Federation on Ageing 13</w:t>
      </w:r>
      <w:r w:rsidRPr="00C52DD2">
        <w:rPr>
          <w:vertAlign w:val="superscript"/>
        </w:rPr>
        <w:t>th</w:t>
      </w:r>
      <w:r>
        <w:t xml:space="preserve"> Global Conference held in Brisbane from 21-23 June 2016</w:t>
      </w:r>
      <w:r w:rsidR="00F24BB9">
        <w:t xml:space="preserve">. </w:t>
      </w:r>
    </w:p>
    <w:p w:rsidR="00EA3335" w:rsidRDefault="00EA3335" w:rsidP="00EA3335">
      <w:pPr>
        <w:tabs>
          <w:tab w:val="left" w:pos="567"/>
          <w:tab w:val="left" w:pos="1107"/>
        </w:tabs>
      </w:pPr>
      <w:r w:rsidRPr="00B6320B">
        <w:t>A Queensland University of Technology intern</w:t>
      </w:r>
      <w:r w:rsidRPr="00643846">
        <w:t xml:space="preserve"> was engaged by the Office to assist with the research study which looked at how to identify vulnerable </w:t>
      </w:r>
      <w:r w:rsidRPr="00B8496A">
        <w:t xml:space="preserve">seniors </w:t>
      </w:r>
      <w:r w:rsidRPr="008C3D87">
        <w:t>living in their own homes, how to prepare them better and enhance their resilience, as well as</w:t>
      </w:r>
      <w:r w:rsidRPr="003C7206">
        <w:t xml:space="preserve"> options to </w:t>
      </w:r>
      <w:r w:rsidRPr="009764AF">
        <w:t>provide</w:t>
      </w:r>
      <w:r w:rsidRPr="00C52DD2">
        <w:t xml:space="preserve"> for</w:t>
      </w:r>
      <w:r w:rsidRPr="00B6320B">
        <w:t xml:space="preserve"> effective and coordinated services to support these vulnerable seniors across all agencies and tiers of government.</w:t>
      </w:r>
      <w:r w:rsidRPr="004D56F3">
        <w:t xml:space="preserve"> </w:t>
      </w:r>
      <w:r w:rsidRPr="00C52DD2">
        <w:t xml:space="preserve">The findings </w:t>
      </w:r>
      <w:r w:rsidR="002109B9">
        <w:t>may be applied more broadly across the state where appropriate.</w:t>
      </w:r>
    </w:p>
    <w:p w:rsidR="005B1B38" w:rsidRDefault="005B1B38">
      <w:pPr>
        <w:rPr>
          <w:rFonts w:eastAsia="Calibri"/>
          <w:szCs w:val="22"/>
          <w:highlight w:val="yellow"/>
        </w:rPr>
      </w:pPr>
      <w:r>
        <w:rPr>
          <w:rFonts w:eastAsia="Calibri"/>
          <w:szCs w:val="22"/>
          <w:highlight w:val="yellow"/>
        </w:rPr>
        <w:br w:type="page"/>
      </w:r>
    </w:p>
    <w:p w:rsidR="000F164D" w:rsidRDefault="007B5CCA" w:rsidP="00EA3335">
      <w:pPr>
        <w:rPr>
          <w:rFonts w:eastAsia="Calibri"/>
          <w:szCs w:val="22"/>
          <w:highlight w:val="yellow"/>
        </w:rPr>
      </w:pPr>
      <w:r>
        <w:rPr>
          <w:rFonts w:eastAsia="Calibri"/>
          <w:noProof/>
          <w:szCs w:val="22"/>
          <w:lang w:val="en-AU" w:eastAsia="en-AU"/>
        </w:rPr>
        <w:lastRenderedPageBreak/>
        <mc:AlternateContent>
          <mc:Choice Requires="wpg">
            <w:drawing>
              <wp:anchor distT="0" distB="0" distL="114300" distR="114300" simplePos="0" relativeHeight="251662336" behindDoc="0" locked="0" layoutInCell="1" allowOverlap="1" wp14:anchorId="53A623DC" wp14:editId="27BA8AC9">
                <wp:simplePos x="0" y="0"/>
                <wp:positionH relativeFrom="column">
                  <wp:posOffset>13335</wp:posOffset>
                </wp:positionH>
                <wp:positionV relativeFrom="paragraph">
                  <wp:posOffset>126555</wp:posOffset>
                </wp:positionV>
                <wp:extent cx="6479540" cy="2924175"/>
                <wp:effectExtent l="19050" t="19050" r="16510" b="28575"/>
                <wp:wrapNone/>
                <wp:docPr id="235" name="Group 235"/>
                <wp:cNvGraphicFramePr/>
                <a:graphic xmlns:a="http://schemas.openxmlformats.org/drawingml/2006/main">
                  <a:graphicData uri="http://schemas.microsoft.com/office/word/2010/wordprocessingGroup">
                    <wpg:wgp>
                      <wpg:cNvGrpSpPr/>
                      <wpg:grpSpPr>
                        <a:xfrm>
                          <a:off x="0" y="0"/>
                          <a:ext cx="6479540" cy="2924175"/>
                          <a:chOff x="0" y="0"/>
                          <a:chExt cx="6479540" cy="2828925"/>
                        </a:xfrm>
                      </wpg:grpSpPr>
                      <wps:wsp>
                        <wps:cNvPr id="140" name="Rounded Rectangle 140"/>
                        <wps:cNvSpPr/>
                        <wps:spPr>
                          <a:xfrm>
                            <a:off x="0" y="0"/>
                            <a:ext cx="6479540" cy="2828925"/>
                          </a:xfrm>
                          <a:prstGeom prst="roundRect">
                            <a:avLst/>
                          </a:prstGeom>
                          <a:solidFill>
                            <a:srgbClr val="AB054C">
                              <a:alpha val="98000"/>
                            </a:srgbClr>
                          </a:solidFill>
                          <a:ln w="28575" cap="flat" cmpd="sng" algn="ctr">
                            <a:solidFill>
                              <a:srgbClr val="8A002E"/>
                            </a:solidFill>
                            <a:prstDash val="solid"/>
                          </a:ln>
                          <a:effectLst/>
                        </wps:spPr>
                        <wps:txbx>
                          <w:txbxContent>
                            <w:p w:rsidR="00797F44" w:rsidRPr="00F11267" w:rsidRDefault="00797F44" w:rsidP="000F164D">
                              <w:pPr>
                                <w:pStyle w:val="Heading4"/>
                                <w:rPr>
                                  <w:rFonts w:ascii="Arial" w:hAnsi="Arial" w:cs="Arial"/>
                                </w:rPr>
                              </w:pPr>
                              <w:bookmarkStart w:id="153" w:name="_Toc459712715"/>
                              <w:bookmarkStart w:id="154" w:name="_Toc460404387"/>
                              <w:r>
                                <w:rPr>
                                  <w:rFonts w:ascii="Arial" w:hAnsi="Arial" w:cs="Arial"/>
                                </w:rPr>
                                <w:t>Objective Four</w:t>
                              </w:r>
                              <w:bookmarkEnd w:id="153"/>
                              <w:bookmarkEnd w:id="154"/>
                            </w:p>
                          </w:txbxContent>
                        </wps:txbx>
                        <wps:bodyPr rot="0" spcFirstLastPara="0" vertOverflow="overflow" horzOverflow="overflow" vert="horz" wrap="square" lIns="216000" tIns="0" rIns="91440" bIns="45720" numCol="1" spcCol="0" rtlCol="0" fromWordArt="0" anchor="t" anchorCtr="0" forceAA="0" compatLnSpc="1">
                          <a:prstTxWarp prst="textNoShape">
                            <a:avLst/>
                          </a:prstTxWarp>
                          <a:noAutofit/>
                        </wps:bodyPr>
                      </wps:wsp>
                      <wps:wsp>
                        <wps:cNvPr id="141" name="Rounded Rectangle 141"/>
                        <wps:cNvSpPr/>
                        <wps:spPr>
                          <a:xfrm>
                            <a:off x="152400" y="542925"/>
                            <a:ext cx="2051685" cy="2133600"/>
                          </a:xfrm>
                          <a:prstGeom prst="roundRect">
                            <a:avLst/>
                          </a:prstGeom>
                          <a:solidFill>
                            <a:srgbClr val="960443"/>
                          </a:solidFill>
                          <a:ln w="28575" cap="flat" cmpd="sng" algn="ctr">
                            <a:solidFill>
                              <a:schemeClr val="bg1">
                                <a:lumMod val="95000"/>
                              </a:schemeClr>
                            </a:solidFill>
                            <a:prstDash val="solid"/>
                          </a:ln>
                          <a:effectLst/>
                        </wps:spPr>
                        <wps:txbx>
                          <w:txbxContent>
                            <w:p w:rsidR="00797F44" w:rsidRPr="00161F25" w:rsidRDefault="00797F44" w:rsidP="000F164D">
                              <w:pPr>
                                <w:spacing w:before="0" w:after="0"/>
                                <w:contextualSpacing/>
                                <w:rPr>
                                  <w:rFonts w:eastAsia="Times New Roman"/>
                                  <w:color w:val="F2F2F2" w:themeColor="background1" w:themeShade="F2"/>
                                  <w:kern w:val="0"/>
                                  <w:szCs w:val="24"/>
                                  <w:lang w:val="en-AU" w:eastAsia="en-AU"/>
                                </w:rPr>
                              </w:pPr>
                              <w:r w:rsidRPr="004D56F3">
                                <w:rPr>
                                  <w:i/>
                                </w:rPr>
                                <w:t>To sustain a highly motivated, competent office that embraces change and is committed to delivering continuous improvement.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42" name="Rounded Rectangle 142"/>
                        <wps:cNvSpPr/>
                        <wps:spPr>
                          <a:xfrm>
                            <a:off x="2486025" y="542925"/>
                            <a:ext cx="3881755" cy="2133600"/>
                          </a:xfrm>
                          <a:prstGeom prst="roundRect">
                            <a:avLst/>
                          </a:prstGeom>
                          <a:solidFill>
                            <a:srgbClr val="8A043D"/>
                          </a:solidFill>
                          <a:ln w="28575" cap="flat" cmpd="sng" algn="ctr">
                            <a:solidFill>
                              <a:schemeClr val="bg1"/>
                            </a:solidFill>
                            <a:prstDash val="solid"/>
                          </a:ln>
                          <a:effectLst/>
                        </wps:spPr>
                        <wps:txbx>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4D56F3">
                                <w:t>Develop capability through targeted, high quality development programs and initiatives.</w:t>
                              </w:r>
                            </w:p>
                            <w:p w:rsidR="00797F44" w:rsidRPr="004D56F3" w:rsidRDefault="00797F44" w:rsidP="00B40B59">
                              <w:pPr>
                                <w:pStyle w:val="ListParagraph"/>
                                <w:numPr>
                                  <w:ilvl w:val="0"/>
                                  <w:numId w:val="17"/>
                                </w:numPr>
                                <w:spacing w:before="0" w:after="0"/>
                              </w:pPr>
                              <w:r w:rsidRPr="004D56F3">
                                <w:t>Promote a culture of high performance that models the Queensland Public Service values and promotes fairness, integrity and accountability.</w:t>
                              </w:r>
                            </w:p>
                            <w:p w:rsidR="00797F44" w:rsidRPr="004D56F3" w:rsidRDefault="00797F44" w:rsidP="00B40B59">
                              <w:pPr>
                                <w:pStyle w:val="ListParagraph"/>
                                <w:numPr>
                                  <w:ilvl w:val="0"/>
                                  <w:numId w:val="17"/>
                                </w:numPr>
                                <w:spacing w:before="0" w:after="0"/>
                              </w:pPr>
                              <w:r w:rsidRPr="004D56F3">
                                <w:t>Develop processes and systems that support data management and information sharing to enable quality assurance and continuous improvement.</w:t>
                              </w:r>
                            </w:p>
                            <w:p w:rsidR="00797F44" w:rsidRPr="00161F25" w:rsidRDefault="00797F44" w:rsidP="00B40B59">
                              <w:pPr>
                                <w:pStyle w:val="ListParagraph"/>
                                <w:numPr>
                                  <w:ilvl w:val="0"/>
                                  <w:numId w:val="17"/>
                                </w:numPr>
                                <w:spacing w:before="0" w:after="0"/>
                                <w:rPr>
                                  <w:rFonts w:eastAsia="+mn-ea"/>
                                  <w:color w:val="FFFFFF" w:themeColor="background1"/>
                                  <w:kern w:val="0"/>
                                  <w:szCs w:val="22"/>
                                  <w:lang w:eastAsia="en-AU"/>
                                </w:rPr>
                              </w:pPr>
                              <w:r w:rsidRPr="002B674E">
                                <w:t>Ensure the value of advice and outcomes is greater than the investment required for implementation.</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DD1DDA" id="Group 235" o:spid="_x0000_s1038" style="position:absolute;margin-left:1.05pt;margin-top:9.95pt;width:510.2pt;height:230.25pt;z-index:251662336;mso-height-relative:margin" coordsize="6479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">
                <v:roundrect id="Rounded Rectangle 140" o:spid="_x0000_s1039" style="position:absolute;width:64795;height:28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XE8QA&#10;AADcAAAADwAAAGRycy9kb3ducmV2LnhtbESPQWsCQQyF74X+hyGF3upsi0hZHUUKggcFtS20t7AT&#10;dxZ3kmVnqtv++uYgeHshL1/emy2G2Joz9akRdvA8KsAQV+Ibrh18vK+eXsGkjOyxFSYHv5RgMb+/&#10;m2Hp5cJ7Oh9ybRTCqUQHIeeutDZVgSKmkXTEujtKHzHr2NfW93hReGztS1FMbMSG9UPAjt4CVafD&#10;T1QKfoc/Ea7GX53sdmGZPzenrXOPD8NyCibTkG/m6/Xaa/yxxtcyqs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FxPEAAAA3AAAAA8AAAAAAAAAAAAAAAAAmAIAAGRycy9k&#10;b3ducmV2LnhtbFBLBQYAAAAABAAEAPUAAACJAwAAAAA=&#10;" fillcolor="#ab054c" strokecolor="#8a002e" strokeweight="2.25pt">
                  <v:fill opacity="64250f"/>
                  <v:textbox inset="6mm,0">
                    <w:txbxContent>
                      <w:p w:rsidR="00797F44" w:rsidRPr="00F11267" w:rsidRDefault="00797F44" w:rsidP="000F164D">
                        <w:pPr>
                          <w:pStyle w:val="Heading4"/>
                          <w:rPr>
                            <w:rFonts w:ascii="Arial" w:hAnsi="Arial" w:cs="Arial"/>
                          </w:rPr>
                        </w:pPr>
                        <w:bookmarkStart w:id="161" w:name="_Toc459712715"/>
                        <w:bookmarkStart w:id="162" w:name="_Toc460404387"/>
                        <w:r>
                          <w:rPr>
                            <w:rFonts w:ascii="Arial" w:hAnsi="Arial" w:cs="Arial"/>
                          </w:rPr>
                          <w:t>Objective Four</w:t>
                        </w:r>
                        <w:bookmarkEnd w:id="161"/>
                        <w:bookmarkEnd w:id="162"/>
                      </w:p>
                    </w:txbxContent>
                  </v:textbox>
                </v:roundrect>
                <v:roundrect id="Rounded Rectangle 141" o:spid="_x0000_s1040" style="position:absolute;left:1524;top:5429;width:20516;height:2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tsIA&#10;AADcAAAADwAAAGRycy9kb3ducmV2LnhtbERPTWvCQBC9C/6HZYTezCZSRaJrEMG2h/ZglHgdsmMS&#10;zM6G7Krx33cLBW/zeJ+zzgbTijv1rrGsIIliEMSl1Q1XCk7H/XQJwnlkja1lUvAkB9lmPFpjqu2D&#10;D3TPfSVCCLsUFdTed6mUrqzJoItsRxy4i+0N+gD7SuoeHyHctHIWxwtpsOHQUGNHu5rKa34zCvDy&#10;SR9m/j3P9fJqf86H4rm7FUq9TYbtCoSnwb/E/+4vHea/J/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5G2wgAAANwAAAAPAAAAAAAAAAAAAAAAAJgCAABkcnMvZG93&#10;bnJldi54bWxQSwUGAAAAAAQABAD1AAAAhwMAAAAA&#10;" fillcolor="#960443" strokecolor="#f2f2f2 [3052]" strokeweight="2.25pt">
                  <v:textbox inset=",1mm,,1mm">
                    <w:txbxContent>
                      <w:p w:rsidR="00797F44" w:rsidRPr="00161F25" w:rsidRDefault="00797F44" w:rsidP="000F164D">
                        <w:pPr>
                          <w:spacing w:before="0" w:after="0"/>
                          <w:contextualSpacing/>
                          <w:rPr>
                            <w:rFonts w:eastAsia="Times New Roman"/>
                            <w:color w:val="F2F2F2" w:themeColor="background1" w:themeShade="F2"/>
                            <w:kern w:val="0"/>
                            <w:szCs w:val="24"/>
                            <w:lang w:val="en-AU" w:eastAsia="en-AU"/>
                          </w:rPr>
                        </w:pPr>
                        <w:r w:rsidRPr="004D56F3">
                          <w:rPr>
                            <w:i/>
                          </w:rPr>
                          <w:t>To sustain a highly motivated, competent office that embraces change and is committed to delivering continuous improvement.</w:t>
                        </w:r>
                      </w:p>
                    </w:txbxContent>
                  </v:textbox>
                </v:roundrect>
                <v:roundrect id="Rounded Rectangle 142" o:spid="_x0000_s1041" style="position:absolute;left:24860;top:5429;width:38817;height:2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lnMIA&#10;AADcAAAADwAAAGRycy9kb3ducmV2LnhtbERPS2vCQBC+F/wPywje6kaRUqKr+KDiqdBE0OOQHZNo&#10;djbsbk3sr+8WCt7m43vOYtWbRtzJ+dqygsk4AUFcWF1zqeCYf7y+g/ABWWNjmRQ8yMNqOXhZYKpt&#10;x190z0IpYgj7FBVUIbSplL6oyKAf25Y4chfrDIYIXSm1wy6Gm0ZOk+RNGqw5NlTY0rai4pZ9GwW7&#10;jXuc99fT0WV8yvJbl7ufz6tSo2G/noMI1Ien+N990HH+bAp/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uWcwgAAANwAAAAPAAAAAAAAAAAAAAAAAJgCAABkcnMvZG93&#10;bnJldi54bWxQSwUGAAAAAAQABAD1AAAAhwMAAAAA&#10;" fillcolor="#8a043d" strokecolor="white [3212]" strokeweight="2.25pt">
                  <v:textbox inset=",1mm,,1mm">
                    <w:txbxContent>
                      <w:p w:rsidR="00797F44" w:rsidRPr="00F11267" w:rsidRDefault="00797F44" w:rsidP="000F164D">
                        <w:pPr>
                          <w:spacing w:before="0" w:after="0"/>
                          <w:contextualSpacing/>
                          <w:rPr>
                            <w:rFonts w:eastAsia="Times New Roman"/>
                            <w:kern w:val="0"/>
                            <w:sz w:val="28"/>
                            <w:szCs w:val="28"/>
                            <w:lang w:val="en-AU" w:eastAsia="en-AU"/>
                          </w:rPr>
                        </w:pPr>
                        <w:r w:rsidRPr="00F11267">
                          <w:rPr>
                            <w:rFonts w:eastAsia="+mn-ea"/>
                            <w:b/>
                            <w:bCs/>
                            <w:color w:val="FFFFFF"/>
                            <w:kern w:val="0"/>
                            <w:sz w:val="28"/>
                            <w:szCs w:val="28"/>
                            <w:lang w:val="en-AU" w:eastAsia="en-AU"/>
                          </w:rPr>
                          <w:t>Strategies:</w:t>
                        </w:r>
                      </w:p>
                      <w:p w:rsidR="00797F44" w:rsidRPr="004D56F3" w:rsidRDefault="00797F44" w:rsidP="00B40B59">
                        <w:pPr>
                          <w:pStyle w:val="ListParagraph"/>
                          <w:numPr>
                            <w:ilvl w:val="0"/>
                            <w:numId w:val="17"/>
                          </w:numPr>
                          <w:spacing w:before="0" w:after="0"/>
                        </w:pPr>
                        <w:r w:rsidRPr="004D56F3">
                          <w:t>Develop capability through targeted, high quality development programs and initiatives.</w:t>
                        </w:r>
                      </w:p>
                      <w:p w:rsidR="00797F44" w:rsidRPr="004D56F3" w:rsidRDefault="00797F44" w:rsidP="00B40B59">
                        <w:pPr>
                          <w:pStyle w:val="ListParagraph"/>
                          <w:numPr>
                            <w:ilvl w:val="0"/>
                            <w:numId w:val="17"/>
                          </w:numPr>
                          <w:spacing w:before="0" w:after="0"/>
                        </w:pPr>
                        <w:r w:rsidRPr="004D56F3">
                          <w:t>Promote a culture of high performance that models the Queensland Public Service values and promotes fairness, integrity and accountability.</w:t>
                        </w:r>
                      </w:p>
                      <w:p w:rsidR="00797F44" w:rsidRPr="004D56F3" w:rsidRDefault="00797F44" w:rsidP="00B40B59">
                        <w:pPr>
                          <w:pStyle w:val="ListParagraph"/>
                          <w:numPr>
                            <w:ilvl w:val="0"/>
                            <w:numId w:val="17"/>
                          </w:numPr>
                          <w:spacing w:before="0" w:after="0"/>
                        </w:pPr>
                        <w:r w:rsidRPr="004D56F3">
                          <w:t>Develop processes and systems that support data management and information sharing to enable quality assurance and continuous improvement.</w:t>
                        </w:r>
                      </w:p>
                      <w:p w:rsidR="00797F44" w:rsidRPr="00161F25" w:rsidRDefault="00797F44" w:rsidP="00B40B59">
                        <w:pPr>
                          <w:pStyle w:val="ListParagraph"/>
                          <w:numPr>
                            <w:ilvl w:val="0"/>
                            <w:numId w:val="17"/>
                          </w:numPr>
                          <w:spacing w:before="0" w:after="0"/>
                          <w:rPr>
                            <w:rFonts w:eastAsia="+mn-ea"/>
                            <w:color w:val="FFFFFF" w:themeColor="background1"/>
                            <w:kern w:val="0"/>
                            <w:szCs w:val="22"/>
                            <w:lang w:eastAsia="en-AU"/>
                          </w:rPr>
                        </w:pPr>
                        <w:r w:rsidRPr="002B674E">
                          <w:t>Ensure the value of advice and outcomes is greater than the investment required for implementation.</w:t>
                        </w:r>
                      </w:p>
                    </w:txbxContent>
                  </v:textbox>
                </v:roundrect>
              </v:group>
            </w:pict>
          </mc:Fallback>
        </mc:AlternateContent>
      </w:r>
    </w:p>
    <w:p w:rsidR="00F5406B" w:rsidRDefault="00F5406B" w:rsidP="00EA3335">
      <w:pPr>
        <w:rPr>
          <w:rFonts w:eastAsia="Calibri"/>
          <w:szCs w:val="22"/>
          <w:highlight w:val="yellow"/>
        </w:rPr>
      </w:pPr>
    </w:p>
    <w:p w:rsidR="0041644D" w:rsidRDefault="0041644D" w:rsidP="000F164D">
      <w:pPr>
        <w:rPr>
          <w:rFonts w:eastAsia="Calibri"/>
          <w:szCs w:val="22"/>
        </w:rPr>
      </w:pPr>
    </w:p>
    <w:p w:rsidR="0041644D" w:rsidRDefault="0041644D" w:rsidP="000F164D">
      <w:pPr>
        <w:rPr>
          <w:rFonts w:eastAsia="Calibri"/>
          <w:szCs w:val="22"/>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0F164D" w:rsidRDefault="000F164D" w:rsidP="000F164D">
      <w:pPr>
        <w:rPr>
          <w:rFonts w:eastAsia="Calibri"/>
          <w:szCs w:val="22"/>
          <w:highlight w:val="yellow"/>
        </w:rPr>
      </w:pPr>
    </w:p>
    <w:p w:rsidR="00C60996" w:rsidRDefault="00C60996" w:rsidP="00060E4F">
      <w:pPr>
        <w:tabs>
          <w:tab w:val="left" w:pos="567"/>
          <w:tab w:val="left" w:pos="1107"/>
        </w:tabs>
        <w:spacing w:line="259" w:lineRule="auto"/>
        <w:ind w:right="1374"/>
        <w:rPr>
          <w:rFonts w:eastAsia="Calibri"/>
          <w:b/>
          <w:kern w:val="0"/>
          <w:szCs w:val="22"/>
          <w:lang w:val="en-AU" w:eastAsia="en-US"/>
        </w:rPr>
      </w:pPr>
    </w:p>
    <w:p w:rsidR="00060E4F" w:rsidRPr="00060E4F" w:rsidRDefault="00060E4F" w:rsidP="00060E4F">
      <w:pPr>
        <w:tabs>
          <w:tab w:val="left" w:pos="567"/>
          <w:tab w:val="left" w:pos="1107"/>
        </w:tabs>
        <w:spacing w:line="259" w:lineRule="auto"/>
        <w:ind w:right="1374"/>
        <w:rPr>
          <w:rFonts w:eastAsia="Calibri"/>
          <w:b/>
          <w:kern w:val="0"/>
          <w:szCs w:val="22"/>
          <w:lang w:val="en-AU" w:eastAsia="en-US"/>
        </w:rPr>
      </w:pPr>
      <w:r w:rsidRPr="00060E4F">
        <w:rPr>
          <w:rFonts w:eastAsia="Calibri"/>
          <w:b/>
          <w:kern w:val="0"/>
          <w:szCs w:val="22"/>
          <w:lang w:val="en-AU" w:eastAsia="en-US"/>
        </w:rPr>
        <w:t>Capability and high-performance culture</w:t>
      </w:r>
    </w:p>
    <w:p w:rsidR="00060E4F" w:rsidRDefault="00060E4F" w:rsidP="00060E4F">
      <w:pPr>
        <w:tabs>
          <w:tab w:val="left" w:pos="567"/>
          <w:tab w:val="left" w:pos="1107"/>
        </w:tabs>
      </w:pPr>
      <w:r>
        <w:t xml:space="preserve">Aligned to the performance planning and development process, the </w:t>
      </w:r>
      <w:r w:rsidRPr="00166353">
        <w:t>Office</w:t>
      </w:r>
      <w:r>
        <w:t xml:space="preserve"> supported IGEM staff to participate in a range of leadership, management and professional development and training activities in 2015-16. </w:t>
      </w:r>
    </w:p>
    <w:p w:rsidR="00060E4F" w:rsidRDefault="00060E4F" w:rsidP="00060E4F">
      <w:pPr>
        <w:tabs>
          <w:tab w:val="left" w:pos="567"/>
          <w:tab w:val="left" w:pos="1107"/>
        </w:tabs>
      </w:pPr>
      <w:r>
        <w:t xml:space="preserve">The Office also completed and acted on results from the </w:t>
      </w:r>
      <w:r w:rsidRPr="0028115F">
        <w:rPr>
          <w:i/>
        </w:rPr>
        <w:t>Working for Queensland</w:t>
      </w:r>
      <w:r w:rsidR="007E6734">
        <w:rPr>
          <w:i/>
        </w:rPr>
        <w:t xml:space="preserve"> Employee</w:t>
      </w:r>
      <w:r w:rsidRPr="0028115F">
        <w:rPr>
          <w:i/>
        </w:rPr>
        <w:t xml:space="preserve"> </w:t>
      </w:r>
      <w:r w:rsidR="0028115F" w:rsidRPr="0028115F">
        <w:rPr>
          <w:i/>
        </w:rPr>
        <w:t>O</w:t>
      </w:r>
      <w:r w:rsidRPr="0028115F">
        <w:rPr>
          <w:i/>
        </w:rPr>
        <w:t xml:space="preserve">pinion </w:t>
      </w:r>
      <w:r w:rsidR="0028115F" w:rsidRPr="0031113D">
        <w:rPr>
          <w:i/>
        </w:rPr>
        <w:t>S</w:t>
      </w:r>
      <w:r w:rsidRPr="0031113D">
        <w:rPr>
          <w:i/>
        </w:rPr>
        <w:t>urvey</w:t>
      </w:r>
      <w:r w:rsidRPr="0031113D">
        <w:t xml:space="preserve"> </w:t>
      </w:r>
      <w:r w:rsidR="0028115F" w:rsidRPr="0031113D">
        <w:t>(refer page</w:t>
      </w:r>
      <w:r w:rsidR="00193338">
        <w:t>s</w:t>
      </w:r>
      <w:r w:rsidR="0028115F" w:rsidRPr="0031113D">
        <w:t xml:space="preserve"> </w:t>
      </w:r>
      <w:r w:rsidR="0031113D" w:rsidRPr="0031113D">
        <w:t>42</w:t>
      </w:r>
      <w:r w:rsidR="00193338">
        <w:t>-43</w:t>
      </w:r>
      <w:r w:rsidR="0031113D" w:rsidRPr="0031113D">
        <w:t>)</w:t>
      </w:r>
      <w:r w:rsidR="0028115F" w:rsidRPr="0031113D">
        <w:t>.</w:t>
      </w:r>
    </w:p>
    <w:p w:rsidR="00060E4F" w:rsidRPr="00481D05" w:rsidRDefault="00060E4F" w:rsidP="00060E4F">
      <w:pPr>
        <w:tabs>
          <w:tab w:val="left" w:pos="567"/>
          <w:tab w:val="left" w:pos="1107"/>
        </w:tabs>
      </w:pPr>
      <w:r>
        <w:t xml:space="preserve">During 2016, the </w:t>
      </w:r>
      <w:r w:rsidRPr="00481D05">
        <w:t xml:space="preserve">Office </w:t>
      </w:r>
      <w:r>
        <w:t xml:space="preserve">of the IGEM commenced the development of an </w:t>
      </w:r>
      <w:r w:rsidRPr="00481D05">
        <w:t xml:space="preserve">inaugural Workforce Strategy 2016-2020 in partnership with </w:t>
      </w:r>
      <w:r w:rsidR="00F5406B">
        <w:t xml:space="preserve">the </w:t>
      </w:r>
      <w:r>
        <w:t>Human Resources</w:t>
      </w:r>
      <w:r w:rsidR="00F5406B">
        <w:t xml:space="preserve"> Division</w:t>
      </w:r>
      <w:r>
        <w:t xml:space="preserve">, PSBA. </w:t>
      </w:r>
      <w:r w:rsidRPr="00481D05">
        <w:t xml:space="preserve">The </w:t>
      </w:r>
      <w:r>
        <w:t>s</w:t>
      </w:r>
      <w:r w:rsidRPr="00481D05">
        <w:t xml:space="preserve">trategy will target implementation of key activities and actions over the next 12 months to ensure the Office of the IGEM has the capability it needs to </w:t>
      </w:r>
      <w:r>
        <w:t xml:space="preserve">continue to </w:t>
      </w:r>
      <w:r w:rsidRPr="00481D05">
        <w:t xml:space="preserve">deliver </w:t>
      </w:r>
      <w:r>
        <w:t xml:space="preserve">high-quality </w:t>
      </w:r>
      <w:r w:rsidRPr="00481D05">
        <w:t>services and outcomes</w:t>
      </w:r>
      <w:r w:rsidR="00F24BB9">
        <w:t xml:space="preserve">. </w:t>
      </w:r>
    </w:p>
    <w:p w:rsidR="00060E4F" w:rsidRPr="00F82785" w:rsidRDefault="00060E4F" w:rsidP="00060E4F">
      <w:pPr>
        <w:tabs>
          <w:tab w:val="left" w:pos="567"/>
          <w:tab w:val="left" w:pos="1107"/>
        </w:tabs>
      </w:pPr>
      <w:r>
        <w:t xml:space="preserve">All staff were </w:t>
      </w:r>
      <w:r w:rsidRPr="00166353">
        <w:t>engaged in a values workshop in June 2016, demonstrating an ongoing commitment to build</w:t>
      </w:r>
      <w:r>
        <w:t>ing</w:t>
      </w:r>
      <w:r w:rsidRPr="00166353">
        <w:t xml:space="preserve"> a constructive workplace culture</w:t>
      </w:r>
      <w:r w:rsidR="00F24BB9">
        <w:t>.</w:t>
      </w:r>
    </w:p>
    <w:p w:rsidR="00060E4F" w:rsidRPr="00060E4F" w:rsidRDefault="00060E4F" w:rsidP="00060E4F">
      <w:pPr>
        <w:tabs>
          <w:tab w:val="left" w:pos="567"/>
          <w:tab w:val="left" w:pos="1107"/>
        </w:tabs>
        <w:spacing w:line="259" w:lineRule="auto"/>
        <w:ind w:right="1374"/>
        <w:rPr>
          <w:rFonts w:eastAsia="Calibri"/>
          <w:b/>
          <w:kern w:val="0"/>
          <w:szCs w:val="22"/>
          <w:lang w:val="en-AU" w:eastAsia="en-US"/>
        </w:rPr>
      </w:pPr>
      <w:r w:rsidRPr="00060E4F">
        <w:rPr>
          <w:rFonts w:eastAsia="Calibri"/>
          <w:b/>
          <w:kern w:val="0"/>
          <w:szCs w:val="22"/>
          <w:lang w:val="en-AU" w:eastAsia="en-US"/>
        </w:rPr>
        <w:t xml:space="preserve">Customer Relationship Management </w:t>
      </w:r>
    </w:p>
    <w:p w:rsidR="00060E4F" w:rsidRDefault="00060E4F" w:rsidP="00060E4F">
      <w:pPr>
        <w:tabs>
          <w:tab w:val="left" w:pos="567"/>
          <w:tab w:val="left" w:pos="1107"/>
        </w:tabs>
      </w:pPr>
      <w:r w:rsidRPr="00166353">
        <w:t xml:space="preserve">The IGEM Customer Relationship Management (CRM) system was used across the Office in 2015-16 with a focus on improved project reporting and greater integration with the </w:t>
      </w:r>
      <w:r w:rsidR="00531645">
        <w:t>AEDP</w:t>
      </w:r>
      <w:r w:rsidR="00F24BB9">
        <w:t xml:space="preserve">. </w:t>
      </w:r>
    </w:p>
    <w:p w:rsidR="00060E4F" w:rsidRDefault="002109B9" w:rsidP="00060E4F">
      <w:pPr>
        <w:tabs>
          <w:tab w:val="left" w:pos="567"/>
          <w:tab w:val="left" w:pos="1107"/>
        </w:tabs>
      </w:pPr>
      <w:r>
        <w:t>The d</w:t>
      </w:r>
      <w:r w:rsidR="00060E4F" w:rsidRPr="00166353">
        <w:t>evelopment</w:t>
      </w:r>
      <w:r w:rsidR="00060E4F">
        <w:t xml:space="preserve"> of the CRM</w:t>
      </w:r>
      <w:r w:rsidR="009B7D6C">
        <w:t xml:space="preserve"> system</w:t>
      </w:r>
      <w:r w:rsidR="00060E4F" w:rsidRPr="00166353">
        <w:t xml:space="preserve"> during 2015-16 </w:t>
      </w:r>
      <w:r w:rsidR="00060E4F">
        <w:t xml:space="preserve">will give </w:t>
      </w:r>
      <w:r w:rsidR="00060E4F" w:rsidRPr="00166353">
        <w:t xml:space="preserve">disaster management stakeholders at local and district level the ability to compare and contrast their own assessment of their disaster management plan with those of others across the </w:t>
      </w:r>
      <w:r w:rsidR="00060E4F">
        <w:t xml:space="preserve">state. </w:t>
      </w:r>
      <w:r w:rsidR="00060E4F" w:rsidRPr="00166353">
        <w:t xml:space="preserve">It </w:t>
      </w:r>
      <w:r w:rsidR="00060E4F">
        <w:t xml:space="preserve">will </w:t>
      </w:r>
      <w:r w:rsidR="00060E4F" w:rsidRPr="00166353">
        <w:t>also provide</w:t>
      </w:r>
      <w:r w:rsidR="00060E4F">
        <w:t xml:space="preserve"> </w:t>
      </w:r>
      <w:r w:rsidR="00060E4F" w:rsidRPr="00166353">
        <w:t xml:space="preserve">all disaster management stakeholders with the ability to record their observations about the performance of disaster management arrangements, </w:t>
      </w:r>
      <w:r w:rsidR="00060E4F">
        <w:t>informing g</w:t>
      </w:r>
      <w:r w:rsidR="00060E4F" w:rsidRPr="00166353">
        <w:t xml:space="preserve">ood practice that can be shared with others, and </w:t>
      </w:r>
      <w:r w:rsidR="00060E4F">
        <w:t xml:space="preserve">providing </w:t>
      </w:r>
      <w:r w:rsidR="00060E4F" w:rsidRPr="00166353">
        <w:t xml:space="preserve">signposts to the Office </w:t>
      </w:r>
      <w:r w:rsidR="00060E4F">
        <w:t xml:space="preserve">for </w:t>
      </w:r>
      <w:r w:rsidR="00060E4F" w:rsidRPr="00166353">
        <w:t>areas that may require review.</w:t>
      </w:r>
      <w:r w:rsidR="00060E4F">
        <w:t xml:space="preserve"> </w:t>
      </w:r>
    </w:p>
    <w:p w:rsidR="00060E4F" w:rsidRPr="00166353" w:rsidRDefault="00060E4F" w:rsidP="00060E4F">
      <w:pPr>
        <w:tabs>
          <w:tab w:val="left" w:pos="567"/>
          <w:tab w:val="left" w:pos="1107"/>
        </w:tabs>
      </w:pPr>
      <w:r>
        <w:t xml:space="preserve">The new </w:t>
      </w:r>
      <w:r w:rsidR="00531645">
        <w:t xml:space="preserve">system </w:t>
      </w:r>
      <w:r>
        <w:t>functions are due to be launched in early 2016-17.</w:t>
      </w:r>
      <w:r w:rsidRPr="00166353">
        <w:t xml:space="preserve"> </w:t>
      </w:r>
    </w:p>
    <w:p w:rsidR="000F164D" w:rsidRDefault="000F164D" w:rsidP="000F164D">
      <w:pPr>
        <w:rPr>
          <w:rFonts w:eastAsia="Calibri"/>
          <w:szCs w:val="22"/>
          <w:highlight w:val="yellow"/>
        </w:rPr>
      </w:pPr>
    </w:p>
    <w:p w:rsidR="000F164D" w:rsidRDefault="000F164D" w:rsidP="00091676">
      <w:pPr>
        <w:rPr>
          <w:rFonts w:eastAsia="Calibri"/>
          <w:szCs w:val="22"/>
          <w:highlight w:val="yellow"/>
        </w:rPr>
      </w:pPr>
    </w:p>
    <w:p w:rsidR="00405941" w:rsidRPr="00341581" w:rsidRDefault="00405941" w:rsidP="00091676">
      <w:pPr>
        <w:rPr>
          <w:rFonts w:eastAsia="Calibri"/>
          <w:szCs w:val="22"/>
          <w:highlight w:val="yellow"/>
        </w:rPr>
      </w:pPr>
      <w:r w:rsidRPr="00341581">
        <w:rPr>
          <w:rFonts w:eastAsia="Calibri"/>
          <w:szCs w:val="22"/>
          <w:highlight w:val="yellow"/>
        </w:rPr>
        <w:br w:type="page"/>
      </w:r>
    </w:p>
    <w:p w:rsidR="00426138" w:rsidRPr="00341581" w:rsidRDefault="00426138" w:rsidP="00D77F80">
      <w:pPr>
        <w:pStyle w:val="Heading1"/>
        <w:ind w:left="0" w:right="77"/>
      </w:pPr>
      <w:bookmarkStart w:id="155" w:name="_Toc415049802"/>
      <w:bookmarkStart w:id="156" w:name="_Toc415050354"/>
      <w:bookmarkStart w:id="157" w:name="_Toc441671812"/>
      <w:bookmarkStart w:id="158" w:name="_Toc441672100"/>
      <w:bookmarkStart w:id="159" w:name="_Toc442168887"/>
      <w:bookmarkStart w:id="160" w:name="_Toc442339180"/>
      <w:bookmarkStart w:id="161" w:name="_Toc460406681"/>
      <w:bookmarkStart w:id="162" w:name="_Toc460406831"/>
      <w:bookmarkStart w:id="163" w:name="_Toc460406867"/>
      <w:bookmarkStart w:id="164" w:name="_Toc460406946"/>
      <w:bookmarkStart w:id="165" w:name="_Toc460407060"/>
      <w:bookmarkStart w:id="166" w:name="_Toc460487963"/>
      <w:r w:rsidRPr="00341581">
        <w:lastRenderedPageBreak/>
        <w:t>G</w:t>
      </w:r>
      <w:r w:rsidR="00B2375C">
        <w:t>overnance</w:t>
      </w:r>
      <w:bookmarkEnd w:id="155"/>
      <w:bookmarkEnd w:id="156"/>
      <w:bookmarkEnd w:id="157"/>
      <w:bookmarkEnd w:id="158"/>
      <w:bookmarkEnd w:id="159"/>
      <w:bookmarkEnd w:id="160"/>
      <w:bookmarkEnd w:id="161"/>
      <w:bookmarkEnd w:id="162"/>
      <w:bookmarkEnd w:id="163"/>
      <w:bookmarkEnd w:id="164"/>
      <w:bookmarkEnd w:id="165"/>
      <w:bookmarkEnd w:id="166"/>
    </w:p>
    <w:p w:rsidR="00426138" w:rsidRDefault="00426138" w:rsidP="00C60996">
      <w:pPr>
        <w:pStyle w:val="Heading2"/>
        <w:spacing w:before="120"/>
      </w:pPr>
      <w:bookmarkStart w:id="167" w:name="_Toc415049803"/>
      <w:bookmarkStart w:id="168" w:name="_Toc415050355"/>
      <w:bookmarkStart w:id="169" w:name="_Toc441671813"/>
      <w:bookmarkStart w:id="170" w:name="_Toc441672101"/>
      <w:bookmarkStart w:id="171" w:name="_Toc442168888"/>
      <w:bookmarkStart w:id="172" w:name="_Toc460406682"/>
      <w:bookmarkStart w:id="173" w:name="_Toc460406832"/>
      <w:bookmarkStart w:id="174" w:name="_Toc460406868"/>
      <w:bookmarkStart w:id="175" w:name="_Toc460406947"/>
      <w:bookmarkStart w:id="176" w:name="_Toc460407061"/>
      <w:bookmarkStart w:id="177" w:name="_Toc460487964"/>
      <w:r w:rsidRPr="00341581">
        <w:t>E</w:t>
      </w:r>
      <w:r w:rsidR="0070144E">
        <w:t xml:space="preserve">xecutive </w:t>
      </w:r>
      <w:r w:rsidR="00B34B8E">
        <w:t>m</w:t>
      </w:r>
      <w:r w:rsidRPr="00341581">
        <w:t>anagement</w:t>
      </w:r>
      <w:bookmarkEnd w:id="167"/>
      <w:bookmarkEnd w:id="168"/>
      <w:bookmarkEnd w:id="169"/>
      <w:bookmarkEnd w:id="170"/>
      <w:bookmarkEnd w:id="171"/>
      <w:bookmarkEnd w:id="172"/>
      <w:bookmarkEnd w:id="173"/>
      <w:bookmarkEnd w:id="174"/>
      <w:bookmarkEnd w:id="175"/>
      <w:bookmarkEnd w:id="176"/>
      <w:bookmarkEnd w:id="177"/>
    </w:p>
    <w:p w:rsidR="00383C07" w:rsidRDefault="00383C07" w:rsidP="00B81DAB">
      <w:pPr>
        <w:pStyle w:val="Heading3"/>
      </w:pPr>
      <w:r>
        <w:t>Executive Management Committee</w:t>
      </w:r>
      <w:r>
        <w:rPr>
          <w:spacing w:val="-12"/>
        </w:rPr>
        <w:t xml:space="preserve"> </w:t>
      </w:r>
      <w:r>
        <w:t>profiles</w:t>
      </w:r>
    </w:p>
    <w:tbl>
      <w:tblPr>
        <w:tblStyle w:val="TableGrid"/>
        <w:tblW w:w="10314" w:type="dxa"/>
        <w:tblBorders>
          <w:top w:val="none" w:sz="0" w:space="0" w:color="auto"/>
          <w:left w:val="none" w:sz="0" w:space="0" w:color="auto"/>
          <w:bottom w:val="single" w:sz="12" w:space="0" w:color="AB054B"/>
          <w:right w:val="none" w:sz="0" w:space="0" w:color="auto"/>
          <w:insideH w:val="none" w:sz="0" w:space="0" w:color="auto"/>
          <w:insideV w:val="none" w:sz="0" w:space="0" w:color="auto"/>
        </w:tblBorders>
        <w:tblLook w:val="04A0" w:firstRow="1" w:lastRow="0" w:firstColumn="1" w:lastColumn="0" w:noHBand="0" w:noVBand="1"/>
      </w:tblPr>
      <w:tblGrid>
        <w:gridCol w:w="10314"/>
      </w:tblGrid>
      <w:tr w:rsidR="00B122E9" w:rsidTr="00B122E9">
        <w:trPr>
          <w:trHeight w:val="2247"/>
        </w:trPr>
        <w:tc>
          <w:tcPr>
            <w:tcW w:w="10314" w:type="dxa"/>
            <w:tcBorders>
              <w:top w:val="nil"/>
              <w:bottom w:val="single" w:sz="4" w:space="0" w:color="AB054B"/>
            </w:tcBorders>
            <w:vAlign w:val="center"/>
          </w:tcPr>
          <w:p w:rsidR="00B122E9" w:rsidRPr="00383C07" w:rsidRDefault="00B122E9" w:rsidP="00C60996">
            <w:pPr>
              <w:rPr>
                <w:b/>
              </w:rPr>
            </w:pPr>
            <w:r w:rsidRPr="00383C07">
              <w:rPr>
                <w:b/>
                <w:color w:val="AB054B"/>
                <w:sz w:val="28"/>
                <w:szCs w:val="24"/>
              </w:rPr>
              <w:t>Iain MacKenzie</w:t>
            </w:r>
            <w:r w:rsidRPr="00383C07">
              <w:rPr>
                <w:b/>
                <w:sz w:val="28"/>
                <w:szCs w:val="24"/>
              </w:rPr>
              <w:t xml:space="preserve"> </w:t>
            </w:r>
            <w:r w:rsidRPr="00383C07">
              <w:rPr>
                <w:b/>
                <w:sz w:val="24"/>
                <w:szCs w:val="24"/>
              </w:rPr>
              <w:t>AFSM. MLshipMgt (Policing)</w:t>
            </w:r>
            <w:r w:rsidRPr="00383C07">
              <w:rPr>
                <w:b/>
              </w:rPr>
              <w:t xml:space="preserve"> </w:t>
            </w:r>
          </w:p>
          <w:p w:rsidR="00B122E9" w:rsidRPr="00383C07" w:rsidRDefault="00B122E9" w:rsidP="00C60996">
            <w:pPr>
              <w:pStyle w:val="BodyText"/>
              <w:rPr>
                <w:b/>
                <w:sz w:val="24"/>
                <w:szCs w:val="24"/>
              </w:rPr>
            </w:pPr>
            <w:r w:rsidRPr="00383C07">
              <w:rPr>
                <w:b/>
                <w:sz w:val="24"/>
                <w:szCs w:val="24"/>
              </w:rPr>
              <w:t>Inspector-General Emergency Management</w:t>
            </w:r>
          </w:p>
          <w:p w:rsidR="00B122E9" w:rsidRDefault="00B122E9" w:rsidP="00C60996">
            <w:pPr>
              <w:pStyle w:val="BodyText"/>
            </w:pPr>
            <w:r w:rsidRPr="0086651F">
              <w:t xml:space="preserve">The Inspector-General Emergency Management is responsible for leading and managing the Office of the IGEM to provide assurance and advice to enable confidence in Queensland’s emergency management arrangements. </w:t>
            </w:r>
          </w:p>
          <w:p w:rsidR="00B122E9" w:rsidRPr="0086651F" w:rsidRDefault="00B122E9" w:rsidP="00C60996">
            <w:pPr>
              <w:pStyle w:val="BodyText"/>
            </w:pPr>
            <w:r w:rsidRPr="0086651F">
              <w:t>The Office of the IGEM regularly reviews and assesses the effectiveness of disaster management by local, district and state disaster management groups, including reviewing disaster management plans, regularly reviewing and assessing entities against the Standard, working with agencies to improve Queensland’s disaster management arrangements, and identifying opportunities for cooperative partnerships to improve disaster management outcomes.</w:t>
            </w:r>
          </w:p>
          <w:p w:rsidR="00B122E9" w:rsidRPr="00A826A1" w:rsidRDefault="00B122E9" w:rsidP="00C60996">
            <w:pPr>
              <w:pStyle w:val="BodyText"/>
              <w:rPr>
                <w:rStyle w:val="Style1Char"/>
              </w:rPr>
            </w:pPr>
            <w:r>
              <w:t>Iain was appointed as Inspector-General on 11 October 2013. He was formerly the</w:t>
            </w:r>
            <w:r>
              <w:rPr>
                <w:spacing w:val="-23"/>
              </w:rPr>
              <w:t xml:space="preserve"> </w:t>
            </w:r>
            <w:r>
              <w:t>Deputy Commissioner of the former Queensland Fire and Rescue Service and served the fire service</w:t>
            </w:r>
            <w:r>
              <w:rPr>
                <w:spacing w:val="-31"/>
              </w:rPr>
              <w:t xml:space="preserve"> </w:t>
            </w:r>
            <w:r>
              <w:t>for over 32 years. Iain holds a Master Degree in Leadership and Management, is a graduate of</w:t>
            </w:r>
            <w:r>
              <w:rPr>
                <w:spacing w:val="-33"/>
              </w:rPr>
              <w:t xml:space="preserve"> </w:t>
            </w:r>
            <w:r>
              <w:t>the</w:t>
            </w:r>
            <w:r>
              <w:rPr>
                <w:spacing w:val="-1"/>
              </w:rPr>
              <w:t xml:space="preserve"> </w:t>
            </w:r>
            <w:r>
              <w:t>Institute of Fire Engineers and has attended the United States National Fire Academy</w:t>
            </w:r>
            <w:r>
              <w:rPr>
                <w:spacing w:val="-30"/>
              </w:rPr>
              <w:t xml:space="preserve"> </w:t>
            </w:r>
            <w:r>
              <w:t>Executive Fire Officer Program. Iain was awarded the Australian Fire Service Medal in</w:t>
            </w:r>
            <w:r>
              <w:rPr>
                <w:spacing w:val="-31"/>
              </w:rPr>
              <w:t xml:space="preserve"> </w:t>
            </w:r>
            <w:r>
              <w:t>2006.</w:t>
            </w:r>
          </w:p>
        </w:tc>
      </w:tr>
      <w:tr w:rsidR="00B122E9" w:rsidTr="00B122E9">
        <w:trPr>
          <w:trHeight w:val="2538"/>
        </w:trPr>
        <w:tc>
          <w:tcPr>
            <w:tcW w:w="10314" w:type="dxa"/>
            <w:tcBorders>
              <w:top w:val="single" w:sz="4" w:space="0" w:color="AB054B"/>
              <w:bottom w:val="single" w:sz="4" w:space="0" w:color="AB054B"/>
            </w:tcBorders>
            <w:vAlign w:val="center"/>
          </w:tcPr>
          <w:p w:rsidR="00B122E9" w:rsidRPr="00383C07" w:rsidRDefault="00B122E9" w:rsidP="00B122E9">
            <w:pPr>
              <w:pStyle w:val="BodyText"/>
              <w:rPr>
                <w:rFonts w:eastAsia="Arial"/>
                <w:b/>
                <w:sz w:val="28"/>
              </w:rPr>
            </w:pPr>
            <w:r w:rsidRPr="00383C07">
              <w:rPr>
                <w:b/>
                <w:color w:val="AB054B"/>
                <w:sz w:val="28"/>
              </w:rPr>
              <w:t>Mike Shapland</w:t>
            </w:r>
            <w:r w:rsidRPr="00383C07">
              <w:rPr>
                <w:b/>
                <w:sz w:val="28"/>
              </w:rPr>
              <w:t xml:space="preserve"> </w:t>
            </w:r>
            <w:r w:rsidRPr="00383C07">
              <w:rPr>
                <w:b/>
                <w:sz w:val="24"/>
                <w:szCs w:val="24"/>
              </w:rPr>
              <w:t>MBE</w:t>
            </w:r>
          </w:p>
          <w:p w:rsidR="00B122E9" w:rsidRPr="00383C07" w:rsidRDefault="00B122E9" w:rsidP="00B122E9">
            <w:pPr>
              <w:pStyle w:val="BodyText"/>
              <w:rPr>
                <w:b/>
                <w:sz w:val="24"/>
                <w:szCs w:val="24"/>
              </w:rPr>
            </w:pPr>
            <w:r w:rsidRPr="00383C07">
              <w:rPr>
                <w:b/>
                <w:sz w:val="24"/>
                <w:szCs w:val="24"/>
              </w:rPr>
              <w:t>Director, Interoperability and Innovation</w:t>
            </w:r>
          </w:p>
          <w:p w:rsidR="00B122E9" w:rsidRDefault="00B122E9" w:rsidP="00B122E9">
            <w:pPr>
              <w:pStyle w:val="BodyText"/>
              <w:rPr>
                <w:rFonts w:eastAsia="Arial"/>
                <w:b/>
                <w:bCs/>
                <w:i/>
              </w:rPr>
            </w:pPr>
            <w:r>
              <w:t>The Director, Interoperability and Innovation facilitates programs and solutions designed to</w:t>
            </w:r>
            <w:r w:rsidRPr="0086651F">
              <w:t xml:space="preserve"> </w:t>
            </w:r>
            <w:r>
              <w:t>help the Office and agencies deliver better disaster management outcomes, and also</w:t>
            </w:r>
            <w:r w:rsidRPr="0086651F">
              <w:t xml:space="preserve"> </w:t>
            </w:r>
            <w:r>
              <w:t>contributes to the broader assessment work of the Office. The role represents the Office of the IGEM</w:t>
            </w:r>
            <w:r w:rsidRPr="0086651F">
              <w:t xml:space="preserve"> </w:t>
            </w:r>
            <w:r>
              <w:t>at</w:t>
            </w:r>
            <w:r w:rsidRPr="0086651F">
              <w:t xml:space="preserve"> </w:t>
            </w:r>
            <w:r>
              <w:t>innovation forums and promotes interoperability across the</w:t>
            </w:r>
            <w:r w:rsidRPr="0086651F">
              <w:t xml:space="preserve"> </w:t>
            </w:r>
            <w:r>
              <w:t>sector.</w:t>
            </w:r>
          </w:p>
          <w:p w:rsidR="00B122E9" w:rsidRPr="008B70CD" w:rsidRDefault="00B122E9" w:rsidP="00B122E9">
            <w:pPr>
              <w:pStyle w:val="BodyText"/>
              <w:spacing w:after="120"/>
              <w:rPr>
                <w:rStyle w:val="Style1Char"/>
              </w:rPr>
            </w:pPr>
            <w:r>
              <w:rPr>
                <w:rFonts w:eastAsia="Arial"/>
              </w:rPr>
              <w:t>Mike is a graduate from the Royal Military Academy, Sandhurst, the British Army’s Technical</w:t>
            </w:r>
            <w:r>
              <w:rPr>
                <w:rFonts w:eastAsia="Arial"/>
                <w:spacing w:val="-30"/>
              </w:rPr>
              <w:t xml:space="preserve"> </w:t>
            </w:r>
            <w:r>
              <w:rPr>
                <w:rFonts w:eastAsia="Arial"/>
              </w:rPr>
              <w:t>and</w:t>
            </w:r>
            <w:r>
              <w:rPr>
                <w:rFonts w:eastAsia="Arial"/>
                <w:spacing w:val="-1"/>
              </w:rPr>
              <w:t xml:space="preserve"> </w:t>
            </w:r>
            <w:r>
              <w:rPr>
                <w:rFonts w:eastAsia="Arial"/>
              </w:rPr>
              <w:t>General Staff courses and from Griffith University’s Master of Business Administration</w:t>
            </w:r>
            <w:r>
              <w:rPr>
                <w:rFonts w:eastAsia="Arial"/>
                <w:spacing w:val="-36"/>
              </w:rPr>
              <w:t xml:space="preserve"> </w:t>
            </w:r>
            <w:r>
              <w:rPr>
                <w:rFonts w:eastAsia="Arial"/>
              </w:rPr>
              <w:t xml:space="preserve">program. Mike was awarded Member of the Order of the British Empire in the United Kingdom’s 1997 New Year’s Honours list. </w:t>
            </w:r>
          </w:p>
        </w:tc>
      </w:tr>
      <w:tr w:rsidR="00B122E9" w:rsidTr="00B122E9">
        <w:trPr>
          <w:trHeight w:val="2598"/>
        </w:trPr>
        <w:tc>
          <w:tcPr>
            <w:tcW w:w="10314" w:type="dxa"/>
            <w:tcBorders>
              <w:top w:val="single" w:sz="4" w:space="0" w:color="AB054B"/>
              <w:bottom w:val="single" w:sz="4" w:space="0" w:color="AB054B"/>
            </w:tcBorders>
            <w:vAlign w:val="center"/>
          </w:tcPr>
          <w:p w:rsidR="00B122E9" w:rsidRPr="00383C07" w:rsidRDefault="00B122E9" w:rsidP="00B122E9">
            <w:pPr>
              <w:pStyle w:val="BodyText"/>
              <w:rPr>
                <w:rFonts w:eastAsia="Arial"/>
                <w:b/>
                <w:color w:val="AB054B"/>
                <w:sz w:val="28"/>
              </w:rPr>
            </w:pPr>
            <w:r w:rsidRPr="00383C07">
              <w:rPr>
                <w:b/>
                <w:color w:val="AB054B"/>
                <w:sz w:val="28"/>
              </w:rPr>
              <w:t>Alison Spruce</w:t>
            </w:r>
          </w:p>
          <w:p w:rsidR="00B122E9" w:rsidRPr="00383C07" w:rsidRDefault="00B122E9" w:rsidP="00B122E9">
            <w:pPr>
              <w:pStyle w:val="BodyText"/>
              <w:rPr>
                <w:rFonts w:eastAsia="Arial"/>
                <w:b/>
                <w:sz w:val="24"/>
              </w:rPr>
            </w:pPr>
            <w:r w:rsidRPr="00383C07">
              <w:rPr>
                <w:b/>
                <w:sz w:val="24"/>
              </w:rPr>
              <w:t>Director, Performance, Reporting and Policy Analysis</w:t>
            </w:r>
          </w:p>
          <w:p w:rsidR="00B122E9" w:rsidRPr="0086651F" w:rsidRDefault="00B122E9" w:rsidP="00B122E9">
            <w:pPr>
              <w:pStyle w:val="BodyText"/>
            </w:pPr>
            <w:r>
              <w:t>The Director, Performance, Reporting and Policy Analysis is responsible for developing</w:t>
            </w:r>
            <w:r w:rsidRPr="0086651F">
              <w:t xml:space="preserve"> </w:t>
            </w:r>
            <w:r>
              <w:t>and</w:t>
            </w:r>
            <w:r w:rsidRPr="0086651F">
              <w:t xml:space="preserve"> </w:t>
            </w:r>
            <w:r>
              <w:t>coordinating internal strategy, planning and governance arrangements for the Office of the</w:t>
            </w:r>
            <w:r w:rsidRPr="0086651F">
              <w:t xml:space="preserve"> </w:t>
            </w:r>
            <w:r>
              <w:t>IGEM. The role also acts as a liaison point with PSBA and other agencies with regard to external</w:t>
            </w:r>
            <w:r w:rsidRPr="0086651F">
              <w:t xml:space="preserve"> </w:t>
            </w:r>
            <w:r>
              <w:t>policy and governance and provides policy advice to the Inspector-General and the</w:t>
            </w:r>
            <w:r w:rsidRPr="0086651F">
              <w:t xml:space="preserve"> </w:t>
            </w:r>
            <w:r>
              <w:t>Executive Management</w:t>
            </w:r>
            <w:r w:rsidRPr="0086651F">
              <w:t xml:space="preserve"> </w:t>
            </w:r>
            <w:r>
              <w:t>Committee.</w:t>
            </w:r>
          </w:p>
          <w:p w:rsidR="00B122E9" w:rsidRPr="00A826A1" w:rsidRDefault="00B122E9" w:rsidP="00B122E9">
            <w:pPr>
              <w:pStyle w:val="BodyText"/>
              <w:spacing w:after="120"/>
              <w:rPr>
                <w:rStyle w:val="Style1Char"/>
              </w:rPr>
            </w:pPr>
            <w:r>
              <w:t>Alison holds a Master of Business Administration, a Bachelor of International Business and a</w:t>
            </w:r>
            <w:r>
              <w:rPr>
                <w:spacing w:val="-27"/>
              </w:rPr>
              <w:t xml:space="preserve"> </w:t>
            </w:r>
            <w:r>
              <w:t>Post Graduate Diploma in</w:t>
            </w:r>
            <w:r>
              <w:rPr>
                <w:spacing w:val="-12"/>
              </w:rPr>
              <w:t xml:space="preserve"> </w:t>
            </w:r>
            <w:r>
              <w:t>Education.</w:t>
            </w:r>
          </w:p>
        </w:tc>
      </w:tr>
      <w:tr w:rsidR="00B122E9" w:rsidTr="00B122E9">
        <w:trPr>
          <w:trHeight w:val="1981"/>
        </w:trPr>
        <w:tc>
          <w:tcPr>
            <w:tcW w:w="10314" w:type="dxa"/>
            <w:tcBorders>
              <w:top w:val="nil"/>
              <w:bottom w:val="single" w:sz="4" w:space="0" w:color="AB054B"/>
            </w:tcBorders>
            <w:vAlign w:val="center"/>
          </w:tcPr>
          <w:p w:rsidR="00B122E9" w:rsidRPr="00383C07" w:rsidRDefault="00B122E9" w:rsidP="00B122E9">
            <w:pPr>
              <w:pStyle w:val="BodyText"/>
              <w:rPr>
                <w:rFonts w:eastAsia="Arial"/>
                <w:b/>
                <w:color w:val="AB054B"/>
                <w:sz w:val="28"/>
              </w:rPr>
            </w:pPr>
            <w:r w:rsidRPr="00383C07">
              <w:rPr>
                <w:b/>
                <w:color w:val="AB054B"/>
                <w:sz w:val="28"/>
              </w:rPr>
              <w:lastRenderedPageBreak/>
              <w:t>Rowena Richardson</w:t>
            </w:r>
          </w:p>
          <w:p w:rsidR="00B122E9" w:rsidRPr="00383C07" w:rsidRDefault="00B122E9" w:rsidP="00B122E9">
            <w:pPr>
              <w:pStyle w:val="BodyText"/>
              <w:rPr>
                <w:rFonts w:eastAsia="Arial"/>
                <w:b/>
                <w:sz w:val="24"/>
              </w:rPr>
            </w:pPr>
            <w:r w:rsidRPr="00383C07">
              <w:rPr>
                <w:b/>
                <w:sz w:val="24"/>
              </w:rPr>
              <w:t>Director, Standards, Best Practice and Evaluation</w:t>
            </w:r>
          </w:p>
          <w:p w:rsidR="00B122E9" w:rsidRPr="0086651F" w:rsidRDefault="00B122E9" w:rsidP="00B122E9">
            <w:pPr>
              <w:pStyle w:val="BodyText"/>
            </w:pPr>
            <w:r>
              <w:t>The Director, Standards, Best Practice and Evaluation is responsible for the</w:t>
            </w:r>
            <w:r w:rsidRPr="0086651F">
              <w:t xml:space="preserve"> </w:t>
            </w:r>
            <w:r>
              <w:t>development, implementation and evaluation of the Emergency Management Assurance Framework. The</w:t>
            </w:r>
            <w:r w:rsidRPr="0086651F">
              <w:t xml:space="preserve"> </w:t>
            </w:r>
            <w:r>
              <w:t>role also leads the Emergency Management AEDP within the Office of</w:t>
            </w:r>
            <w:r w:rsidRPr="0086651F">
              <w:t xml:space="preserve"> </w:t>
            </w:r>
            <w:r>
              <w:t>the</w:t>
            </w:r>
            <w:r w:rsidRPr="0086651F">
              <w:t xml:space="preserve"> </w:t>
            </w:r>
            <w:r>
              <w:t>IGEM.</w:t>
            </w:r>
          </w:p>
          <w:p w:rsidR="00B122E9" w:rsidRPr="00A826A1" w:rsidRDefault="00B122E9" w:rsidP="00B122E9">
            <w:pPr>
              <w:pStyle w:val="BodyText"/>
              <w:spacing w:after="120"/>
              <w:rPr>
                <w:rStyle w:val="Style1Char"/>
              </w:rPr>
            </w:pPr>
            <w:r>
              <w:t>Rowena has specific expertise in systems analysis and improvement, holds a Master of</w:t>
            </w:r>
            <w:r>
              <w:rPr>
                <w:spacing w:val="-33"/>
              </w:rPr>
              <w:t xml:space="preserve"> </w:t>
            </w:r>
            <w:r>
              <w:t>Health Administration, a Bachelor of Health Science and Post Graduate Certificates in Critical</w:t>
            </w:r>
            <w:r>
              <w:rPr>
                <w:spacing w:val="-18"/>
              </w:rPr>
              <w:t xml:space="preserve"> </w:t>
            </w:r>
            <w:r>
              <w:t>Care Nursing and Health</w:t>
            </w:r>
            <w:r>
              <w:rPr>
                <w:spacing w:val="-8"/>
              </w:rPr>
              <w:t xml:space="preserve"> </w:t>
            </w:r>
            <w:r>
              <w:t>Management.</w:t>
            </w:r>
          </w:p>
        </w:tc>
      </w:tr>
      <w:tr w:rsidR="00B122E9" w:rsidTr="00B122E9">
        <w:trPr>
          <w:trHeight w:val="1686"/>
        </w:trPr>
        <w:tc>
          <w:tcPr>
            <w:tcW w:w="10314" w:type="dxa"/>
            <w:tcBorders>
              <w:top w:val="single" w:sz="4" w:space="0" w:color="AB054B"/>
              <w:bottom w:val="single" w:sz="4" w:space="0" w:color="AB054B"/>
            </w:tcBorders>
            <w:vAlign w:val="center"/>
          </w:tcPr>
          <w:p w:rsidR="00B122E9" w:rsidRPr="00383C07" w:rsidRDefault="00B122E9" w:rsidP="00B122E9">
            <w:pPr>
              <w:pStyle w:val="TableParagraph"/>
              <w:spacing w:before="120" w:after="120" w:line="248" w:lineRule="exact"/>
              <w:rPr>
                <w:rFonts w:ascii="Arial" w:eastAsia="Arial" w:hAnsi="Arial" w:cs="Arial"/>
                <w:color w:val="AB054B"/>
              </w:rPr>
            </w:pPr>
            <w:r w:rsidRPr="00383C07">
              <w:rPr>
                <w:rFonts w:ascii="Arial" w:eastAsiaTheme="minorHAnsi" w:hAnsi="Arial" w:cs="Arial"/>
                <w:b/>
                <w:color w:val="AB054B"/>
                <w:kern w:val="20"/>
                <w:sz w:val="28"/>
                <w:szCs w:val="20"/>
                <w:lang w:eastAsia="ja-JP"/>
              </w:rPr>
              <w:t>Phil Nickerson</w:t>
            </w:r>
          </w:p>
          <w:p w:rsidR="00B122E9" w:rsidRPr="00383C07" w:rsidRDefault="00B122E9" w:rsidP="00B122E9">
            <w:pPr>
              <w:pStyle w:val="BodyText"/>
              <w:rPr>
                <w:b/>
                <w:sz w:val="24"/>
                <w:szCs w:val="24"/>
              </w:rPr>
            </w:pPr>
            <w:r w:rsidRPr="00383C07">
              <w:rPr>
                <w:b/>
                <w:sz w:val="24"/>
                <w:szCs w:val="24"/>
              </w:rPr>
              <w:t>Director, Community and Stakeholder Engagement</w:t>
            </w:r>
          </w:p>
          <w:p w:rsidR="00B122E9" w:rsidRPr="0086651F" w:rsidRDefault="00B122E9" w:rsidP="00B122E9">
            <w:pPr>
              <w:pStyle w:val="BodyText"/>
            </w:pPr>
            <w:r w:rsidRPr="0086651F">
              <w:t>The Director, Community and Stakeholder Engagement oversees the active engagement of stakeholders within the disaster management sphere, non-government organisations and the public for the Office of the IGEM. The role also provides strategic advice to the Inspector-General and the Executive Management Committee regarding corporate communications, media relations and issues management.</w:t>
            </w:r>
          </w:p>
          <w:p w:rsidR="00B122E9" w:rsidRDefault="00B122E9" w:rsidP="00B122E9">
            <w:pPr>
              <w:pStyle w:val="BodyText"/>
              <w:spacing w:after="120"/>
            </w:pPr>
            <w:r w:rsidRPr="0086651F">
              <w:t>Phil holds a Bachelor of Business (Communications) and a Bachelor of Business (Accountancy).</w:t>
            </w:r>
          </w:p>
        </w:tc>
      </w:tr>
    </w:tbl>
    <w:p w:rsidR="00B50C2F" w:rsidRDefault="00B50C2F">
      <w:pPr>
        <w:rPr>
          <w:b/>
          <w:color w:val="AB054B"/>
          <w:sz w:val="28"/>
        </w:rPr>
      </w:pPr>
      <w:r>
        <w:rPr>
          <w:b/>
          <w:color w:val="AB054B"/>
          <w:sz w:val="28"/>
        </w:rPr>
        <w:br w:type="page"/>
      </w:r>
    </w:p>
    <w:p w:rsidR="008B7FD9" w:rsidRPr="00E25586" w:rsidRDefault="0075612B" w:rsidP="00C60996">
      <w:pPr>
        <w:pStyle w:val="Heading2"/>
      </w:pPr>
      <w:bookmarkStart w:id="178" w:name="_Toc460406683"/>
      <w:bookmarkStart w:id="179" w:name="_Toc460406833"/>
      <w:bookmarkStart w:id="180" w:name="_Toc460406869"/>
      <w:bookmarkStart w:id="181" w:name="_Toc460406948"/>
      <w:bookmarkStart w:id="182" w:name="_Toc460407062"/>
      <w:bookmarkStart w:id="183" w:name="_Toc460487965"/>
      <w:r>
        <w:lastRenderedPageBreak/>
        <w:t>C</w:t>
      </w:r>
      <w:r w:rsidR="008B7FD9" w:rsidRPr="00E25586">
        <w:t>ommittees</w:t>
      </w:r>
      <w:bookmarkEnd w:id="178"/>
      <w:bookmarkEnd w:id="179"/>
      <w:bookmarkEnd w:id="180"/>
      <w:bookmarkEnd w:id="181"/>
      <w:bookmarkEnd w:id="182"/>
      <w:bookmarkEnd w:id="183"/>
    </w:p>
    <w:p w:rsidR="00E25586" w:rsidRPr="00195E25" w:rsidRDefault="00E25586" w:rsidP="00E25586">
      <w:r w:rsidRPr="002E1663">
        <w:rPr>
          <w:szCs w:val="22"/>
        </w:rPr>
        <w:t xml:space="preserve">The Office of the IGEM governance structure comprises the </w:t>
      </w:r>
      <w:r w:rsidRPr="002E1663">
        <w:t>Executive Management Committee</w:t>
      </w:r>
      <w:r>
        <w:t xml:space="preserve"> and the </w:t>
      </w:r>
      <w:r w:rsidRPr="00195E25">
        <w:t>Public Safety Portfolio Audit and Risk Committee</w:t>
      </w:r>
      <w:r>
        <w:t>.</w:t>
      </w:r>
    </w:p>
    <w:p w:rsidR="00E25586" w:rsidRDefault="00F936BC" w:rsidP="000056BC">
      <w:pPr>
        <w:jc w:val="center"/>
      </w:pPr>
      <w:r>
        <w:rPr>
          <w:noProof/>
          <w:lang w:val="en-AU" w:eastAsia="en-AU"/>
        </w:rPr>
        <w:drawing>
          <wp:inline distT="0" distB="0" distL="0" distR="0" wp14:anchorId="3A6B0F05" wp14:editId="382C1007">
            <wp:extent cx="4784651" cy="266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M Board &amp; Committee.png"/>
                    <pic:cNvPicPr/>
                  </pic:nvPicPr>
                  <pic:blipFill rotWithShape="1">
                    <a:blip r:embed="rId68">
                      <a:extLst>
                        <a:ext uri="{28A0092B-C50C-407E-A947-70E740481C1C}">
                          <a14:useLocalDpi xmlns:a14="http://schemas.microsoft.com/office/drawing/2010/main" val="0"/>
                        </a:ext>
                      </a:extLst>
                    </a:blip>
                    <a:srcRect l="24088" t="15676" r="18030" b="61505"/>
                    <a:stretch/>
                  </pic:blipFill>
                  <pic:spPr bwMode="auto">
                    <a:xfrm>
                      <a:off x="0" y="0"/>
                      <a:ext cx="4797521" cy="2674595"/>
                    </a:xfrm>
                    <a:prstGeom prst="rect">
                      <a:avLst/>
                    </a:prstGeom>
                    <a:ln>
                      <a:noFill/>
                    </a:ln>
                    <a:extLst>
                      <a:ext uri="{53640926-AAD7-44D8-BBD7-CCE9431645EC}">
                        <a14:shadowObscured xmlns:a14="http://schemas.microsoft.com/office/drawing/2010/main"/>
                      </a:ext>
                    </a:extLst>
                  </pic:spPr>
                </pic:pic>
              </a:graphicData>
            </a:graphic>
          </wp:inline>
        </w:drawing>
      </w:r>
    </w:p>
    <w:p w:rsidR="0075612B" w:rsidRDefault="00E25586" w:rsidP="00E25586">
      <w:r w:rsidRPr="00FE347F">
        <w:t>T</w:t>
      </w:r>
      <w:r w:rsidRPr="00FE347F">
        <w:rPr>
          <w:rFonts w:eastAsia="Times New Roman"/>
          <w:szCs w:val="22"/>
        </w:rPr>
        <w:t>he Public Safety Portfolio Audit and Risk Committee provides independent assurance on risk, control and compliance frameworks and ensures the portfolio’s operations are carried out efficiently, effectively and economically.</w:t>
      </w:r>
      <w:r w:rsidR="0075612B">
        <w:rPr>
          <w:rFonts w:eastAsia="Times New Roman"/>
          <w:szCs w:val="22"/>
        </w:rPr>
        <w:t xml:space="preserve"> </w:t>
      </w:r>
      <w:r w:rsidR="0075612B" w:rsidRPr="00FE347F">
        <w:t xml:space="preserve">For further information about the Public Safety Portfolio Audit and Risk </w:t>
      </w:r>
      <w:r w:rsidR="0075612B" w:rsidRPr="0031113D">
        <w:t xml:space="preserve">Committee refer pages </w:t>
      </w:r>
      <w:r w:rsidR="0031113D" w:rsidRPr="0031113D">
        <w:t>9-10</w:t>
      </w:r>
      <w:r w:rsidR="0075612B" w:rsidRPr="0031113D">
        <w:t>.</w:t>
      </w:r>
    </w:p>
    <w:p w:rsidR="00E25586" w:rsidRPr="00FE347F" w:rsidRDefault="00E25586" w:rsidP="00E25586">
      <w:pPr>
        <w:rPr>
          <w:rFonts w:eastAsia="Times New Roman"/>
          <w:szCs w:val="22"/>
        </w:rPr>
      </w:pPr>
      <w:r w:rsidRPr="00FE347F">
        <w:rPr>
          <w:rFonts w:eastAsia="Times New Roman"/>
          <w:szCs w:val="22"/>
        </w:rPr>
        <w:t>The former Public Safety Portfolio Innovation Committee and Public Safety Executive Coordinating Committee will no longer convene as the objectives of these committees will be achieved by the PSBA Interim Board of Management (the Board)</w:t>
      </w:r>
      <w:r w:rsidR="003C3158">
        <w:rPr>
          <w:rFonts w:eastAsia="Times New Roman"/>
          <w:szCs w:val="22"/>
        </w:rPr>
        <w:t xml:space="preserve"> (inaugural meeting held 16 May 2016)</w:t>
      </w:r>
      <w:r w:rsidRPr="00FE347F">
        <w:rPr>
          <w:rFonts w:eastAsia="Times New Roman"/>
          <w:szCs w:val="22"/>
        </w:rPr>
        <w:t>. The Commissioner, QPS (Chair) and Commissioner, QFES are members of the Board along with an external member, Mr Geoff Waite, Assistant Under Treasurer, Queensland Treasury.</w:t>
      </w:r>
    </w:p>
    <w:tbl>
      <w:tblPr>
        <w:tblStyle w:val="PlainTable210"/>
        <w:tblW w:w="10205" w:type="dxa"/>
        <w:tblLook w:val="04A0" w:firstRow="1" w:lastRow="0" w:firstColumn="1" w:lastColumn="0" w:noHBand="0" w:noVBand="1"/>
      </w:tblPr>
      <w:tblGrid>
        <w:gridCol w:w="10205"/>
      </w:tblGrid>
      <w:tr w:rsidR="00E25586" w:rsidTr="0033067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5" w:type="dxa"/>
            <w:tcBorders>
              <w:top w:val="nil"/>
              <w:bottom w:val="nil"/>
            </w:tcBorders>
            <w:shd w:val="clear" w:color="auto" w:fill="AB054B"/>
          </w:tcPr>
          <w:p w:rsidR="00E25586" w:rsidRPr="00B36A10" w:rsidRDefault="00E25586" w:rsidP="0033067C">
            <w:pPr>
              <w:pStyle w:val="BodyText"/>
              <w:spacing w:after="120"/>
              <w:rPr>
                <w:color w:val="FFFFFF" w:themeColor="background1"/>
                <w:sz w:val="24"/>
                <w:szCs w:val="24"/>
              </w:rPr>
            </w:pPr>
            <w:r>
              <w:rPr>
                <w:color w:val="FFFFFF" w:themeColor="background1"/>
                <w:sz w:val="24"/>
                <w:szCs w:val="24"/>
              </w:rPr>
              <w:t>Executive Management Committee</w:t>
            </w:r>
          </w:p>
        </w:tc>
      </w:tr>
      <w:tr w:rsidR="00E25586" w:rsidTr="00E2558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205" w:type="dxa"/>
            <w:tcBorders>
              <w:top w:val="nil"/>
              <w:bottom w:val="single" w:sz="4" w:space="0" w:color="AB054B"/>
            </w:tcBorders>
            <w:shd w:val="clear" w:color="auto" w:fill="auto"/>
          </w:tcPr>
          <w:p w:rsidR="00E25586" w:rsidRPr="00AC1E05" w:rsidRDefault="00E25586" w:rsidP="0033067C">
            <w:pPr>
              <w:spacing w:after="120"/>
              <w:rPr>
                <w:b w:val="0"/>
              </w:rPr>
            </w:pPr>
            <w:r w:rsidRPr="00AC1E05">
              <w:rPr>
                <w:b w:val="0"/>
              </w:rPr>
              <w:t>The Executive Management Committee is the key leadership group for the Office of the IGEM. The committee provides leadership and direction on strategic and operational issues and supports the I</w:t>
            </w:r>
            <w:r w:rsidR="0040669E">
              <w:rPr>
                <w:b w:val="0"/>
              </w:rPr>
              <w:t>GEM</w:t>
            </w:r>
            <w:r w:rsidRPr="00AC1E05">
              <w:rPr>
                <w:b w:val="0"/>
              </w:rPr>
              <w:t xml:space="preserve"> as the accountable officer under section 61 of the </w:t>
            </w:r>
            <w:r w:rsidRPr="00AC1E05">
              <w:rPr>
                <w:b w:val="0"/>
                <w:i/>
              </w:rPr>
              <w:t>Financial Accountability Act 2009</w:t>
            </w:r>
            <w:r w:rsidRPr="00AC1E05">
              <w:rPr>
                <w:b w:val="0"/>
              </w:rPr>
              <w:t>, to achieve efficient, effective and financially responsible management for the Office of the IGEM.</w:t>
            </w:r>
          </w:p>
          <w:p w:rsidR="00E25586" w:rsidRPr="00AC1E05" w:rsidRDefault="00E25586" w:rsidP="0033067C">
            <w:pPr>
              <w:spacing w:after="120"/>
              <w:rPr>
                <w:b w:val="0"/>
              </w:rPr>
            </w:pPr>
            <w:r w:rsidRPr="00AC1E05">
              <w:rPr>
                <w:b w:val="0"/>
              </w:rPr>
              <w:t>The committee meets monthly unless otherwise determined by committee members. Extraordinary meetings may be called at the discretion of the Chair.</w:t>
            </w:r>
          </w:p>
          <w:p w:rsidR="00E25586" w:rsidRPr="00067B4E" w:rsidRDefault="00E25586" w:rsidP="002335C3">
            <w:pPr>
              <w:pStyle w:val="BodyText"/>
              <w:spacing w:after="120"/>
              <w:rPr>
                <w:b w:val="0"/>
              </w:rPr>
            </w:pPr>
            <w:r w:rsidRPr="00AC1E05">
              <w:rPr>
                <w:b w:val="0"/>
              </w:rPr>
              <w:t>During 201</w:t>
            </w:r>
            <w:r>
              <w:rPr>
                <w:b w:val="0"/>
              </w:rPr>
              <w:t>5-16</w:t>
            </w:r>
            <w:r w:rsidRPr="00AC1E05">
              <w:rPr>
                <w:b w:val="0"/>
              </w:rPr>
              <w:t xml:space="preserve">, the committee met on </w:t>
            </w:r>
            <w:r>
              <w:rPr>
                <w:b w:val="0"/>
              </w:rPr>
              <w:t>12</w:t>
            </w:r>
            <w:r w:rsidRPr="00AC1E05">
              <w:rPr>
                <w:b w:val="0"/>
              </w:rPr>
              <w:t xml:space="preserve"> occasions</w:t>
            </w:r>
            <w:r>
              <w:rPr>
                <w:b w:val="0"/>
              </w:rPr>
              <w:t>.</w:t>
            </w:r>
            <w:r w:rsidRPr="00AC1E05">
              <w:rPr>
                <w:b w:val="0"/>
              </w:rPr>
              <w:t xml:space="preserve"> </w:t>
            </w:r>
          </w:p>
        </w:tc>
      </w:tr>
      <w:tr w:rsidR="00E25586" w:rsidTr="00E25586">
        <w:trPr>
          <w:trHeight w:val="283"/>
        </w:trPr>
        <w:tc>
          <w:tcPr>
            <w:cnfStyle w:val="001000000000" w:firstRow="0" w:lastRow="0" w:firstColumn="1" w:lastColumn="0" w:oddVBand="0" w:evenVBand="0" w:oddHBand="0" w:evenHBand="0" w:firstRowFirstColumn="0" w:firstRowLastColumn="0" w:lastRowFirstColumn="0" w:lastRowLastColumn="0"/>
            <w:tcW w:w="10205" w:type="dxa"/>
            <w:tcBorders>
              <w:top w:val="single" w:sz="4" w:space="0" w:color="AB054B"/>
              <w:bottom w:val="single" w:sz="4" w:space="0" w:color="AB054B"/>
            </w:tcBorders>
            <w:shd w:val="clear" w:color="auto" w:fill="auto"/>
          </w:tcPr>
          <w:p w:rsidR="00E25586" w:rsidRDefault="00E25586" w:rsidP="0033067C">
            <w:pPr>
              <w:pStyle w:val="TableParagraph"/>
              <w:tabs>
                <w:tab w:val="left" w:pos="464"/>
              </w:tabs>
              <w:spacing w:before="120" w:after="120"/>
              <w:ind w:left="103" w:hanging="103"/>
              <w:rPr>
                <w:rFonts w:ascii="Arial" w:hAnsi="Arial" w:cs="Arial"/>
              </w:rPr>
            </w:pPr>
            <w:r>
              <w:rPr>
                <w:rFonts w:ascii="Arial" w:hAnsi="Arial" w:cs="Arial"/>
              </w:rPr>
              <w:t>Committee m</w:t>
            </w:r>
            <w:r w:rsidRPr="00B36A10">
              <w:rPr>
                <w:rFonts w:ascii="Arial" w:hAnsi="Arial" w:cs="Arial"/>
              </w:rPr>
              <w:t>embers</w:t>
            </w:r>
            <w:r w:rsidRPr="00F60DB2">
              <w:rPr>
                <w:rFonts w:ascii="Arial" w:hAnsi="Arial" w:cs="Arial"/>
                <w:b w:val="0"/>
              </w:rPr>
              <w:t xml:space="preserve"> </w:t>
            </w:r>
          </w:p>
          <w:p w:rsidR="00E25586" w:rsidRPr="002D1DD4" w:rsidRDefault="00E25586" w:rsidP="00207679">
            <w:pPr>
              <w:pStyle w:val="BodyText"/>
              <w:widowControl w:val="0"/>
              <w:numPr>
                <w:ilvl w:val="0"/>
                <w:numId w:val="19"/>
              </w:numPr>
              <w:spacing w:before="60" w:after="60" w:line="251" w:lineRule="exact"/>
              <w:ind w:left="473" w:hanging="360"/>
              <w:rPr>
                <w:b w:val="0"/>
              </w:rPr>
            </w:pPr>
            <w:r w:rsidRPr="002D1DD4">
              <w:rPr>
                <w:b w:val="0"/>
              </w:rPr>
              <w:t>Iain MacKenzie</w:t>
            </w:r>
            <w:r w:rsidR="00C53453">
              <w:rPr>
                <w:b w:val="0"/>
              </w:rPr>
              <w:t xml:space="preserve"> </w:t>
            </w:r>
            <w:r w:rsidR="00C53453" w:rsidRPr="00207679">
              <w:rPr>
                <w:b w:val="0"/>
                <w:bCs w:val="0"/>
              </w:rPr>
              <w:t>AFSM</w:t>
            </w:r>
            <w:r w:rsidRPr="002D1DD4">
              <w:rPr>
                <w:b w:val="0"/>
              </w:rPr>
              <w:t>,</w:t>
            </w:r>
            <w:r w:rsidR="00C53453">
              <w:rPr>
                <w:b w:val="0"/>
              </w:rPr>
              <w:t xml:space="preserve"> </w:t>
            </w:r>
            <w:r w:rsidRPr="002D1DD4">
              <w:rPr>
                <w:b w:val="0"/>
              </w:rPr>
              <w:t>Inspector-General Emergency Management (Chair)</w:t>
            </w:r>
          </w:p>
          <w:p w:rsidR="00E25586" w:rsidRPr="002D1DD4" w:rsidRDefault="00E25586" w:rsidP="00207679">
            <w:pPr>
              <w:pStyle w:val="BodyText"/>
              <w:widowControl w:val="0"/>
              <w:numPr>
                <w:ilvl w:val="0"/>
                <w:numId w:val="19"/>
              </w:numPr>
              <w:spacing w:before="60" w:after="60" w:line="251" w:lineRule="exact"/>
              <w:ind w:left="473" w:hanging="360"/>
              <w:rPr>
                <w:b w:val="0"/>
              </w:rPr>
            </w:pPr>
            <w:r w:rsidRPr="002D1DD4">
              <w:rPr>
                <w:b w:val="0"/>
              </w:rPr>
              <w:t>Mike Shapland</w:t>
            </w:r>
            <w:r w:rsidR="00C53453">
              <w:rPr>
                <w:b w:val="0"/>
              </w:rPr>
              <w:t xml:space="preserve"> </w:t>
            </w:r>
            <w:r w:rsidR="00C53453" w:rsidRPr="00207679">
              <w:rPr>
                <w:b w:val="0"/>
                <w:bCs w:val="0"/>
              </w:rPr>
              <w:t>MBE</w:t>
            </w:r>
            <w:r w:rsidRPr="002D1DD4">
              <w:rPr>
                <w:b w:val="0"/>
              </w:rPr>
              <w:t xml:space="preserve">, Director, Interoperability and Innovation </w:t>
            </w:r>
          </w:p>
          <w:p w:rsidR="00E25586" w:rsidRPr="002D1DD4" w:rsidRDefault="00E25586" w:rsidP="00207679">
            <w:pPr>
              <w:pStyle w:val="BodyText"/>
              <w:widowControl w:val="0"/>
              <w:numPr>
                <w:ilvl w:val="0"/>
                <w:numId w:val="19"/>
              </w:numPr>
              <w:spacing w:before="60" w:after="60" w:line="251" w:lineRule="exact"/>
              <w:ind w:left="473" w:hanging="360"/>
              <w:rPr>
                <w:b w:val="0"/>
              </w:rPr>
            </w:pPr>
            <w:r w:rsidRPr="002D1DD4">
              <w:rPr>
                <w:b w:val="0"/>
              </w:rPr>
              <w:t>Alison Spruce, Director, Performance, Reporting and Policy Analysis</w:t>
            </w:r>
          </w:p>
          <w:p w:rsidR="00E25586" w:rsidRPr="002D1DD4" w:rsidRDefault="00E25586" w:rsidP="00207679">
            <w:pPr>
              <w:pStyle w:val="BodyText"/>
              <w:widowControl w:val="0"/>
              <w:numPr>
                <w:ilvl w:val="0"/>
                <w:numId w:val="19"/>
              </w:numPr>
              <w:spacing w:before="60" w:after="60" w:line="251" w:lineRule="exact"/>
              <w:ind w:left="473" w:hanging="360"/>
              <w:rPr>
                <w:b w:val="0"/>
              </w:rPr>
            </w:pPr>
            <w:r w:rsidRPr="002D1DD4">
              <w:rPr>
                <w:b w:val="0"/>
              </w:rPr>
              <w:t xml:space="preserve">Rowena </w:t>
            </w:r>
            <w:r w:rsidRPr="00207679">
              <w:rPr>
                <w:b w:val="0"/>
                <w:bCs w:val="0"/>
              </w:rPr>
              <w:t>Richardson</w:t>
            </w:r>
            <w:r w:rsidRPr="002D1DD4">
              <w:rPr>
                <w:b w:val="0"/>
              </w:rPr>
              <w:t xml:space="preserve">, Director, Standards, Best Practice and Evaluation </w:t>
            </w:r>
          </w:p>
          <w:p w:rsidR="00E25586" w:rsidRPr="00F607FD" w:rsidRDefault="00E25586" w:rsidP="001D695F">
            <w:pPr>
              <w:pStyle w:val="BodyText"/>
              <w:widowControl w:val="0"/>
              <w:numPr>
                <w:ilvl w:val="0"/>
                <w:numId w:val="19"/>
              </w:numPr>
              <w:spacing w:before="60" w:after="120" w:line="251" w:lineRule="exact"/>
              <w:ind w:left="473" w:hanging="360"/>
              <w:rPr>
                <w:b w:val="0"/>
              </w:rPr>
            </w:pPr>
            <w:r w:rsidRPr="002D1DD4">
              <w:rPr>
                <w:b w:val="0"/>
              </w:rPr>
              <w:t xml:space="preserve">Phil </w:t>
            </w:r>
            <w:r w:rsidRPr="00207679">
              <w:rPr>
                <w:b w:val="0"/>
                <w:bCs w:val="0"/>
              </w:rPr>
              <w:t>Nickerson</w:t>
            </w:r>
            <w:r w:rsidRPr="002D1DD4">
              <w:rPr>
                <w:b w:val="0"/>
              </w:rPr>
              <w:t>, Director, Community and Stakeholder Engagement</w:t>
            </w:r>
          </w:p>
        </w:tc>
      </w:tr>
    </w:tbl>
    <w:p w:rsidR="001D695F" w:rsidRDefault="001D695F">
      <w:r>
        <w:rPr>
          <w:b/>
          <w:bCs/>
        </w:rPr>
        <w:br w:type="page"/>
      </w:r>
    </w:p>
    <w:tbl>
      <w:tblPr>
        <w:tblStyle w:val="PlainTable210"/>
        <w:tblW w:w="10205" w:type="dxa"/>
        <w:tblLook w:val="04A0" w:firstRow="1" w:lastRow="0" w:firstColumn="1" w:lastColumn="0" w:noHBand="0" w:noVBand="1"/>
      </w:tblPr>
      <w:tblGrid>
        <w:gridCol w:w="10205"/>
      </w:tblGrid>
      <w:tr w:rsidR="00E25586" w:rsidTr="00E25586">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205" w:type="dxa"/>
            <w:tcBorders>
              <w:top w:val="single" w:sz="4" w:space="0" w:color="AB054B"/>
              <w:bottom w:val="single" w:sz="4" w:space="0" w:color="AB054B"/>
            </w:tcBorders>
            <w:shd w:val="clear" w:color="auto" w:fill="auto"/>
          </w:tcPr>
          <w:p w:rsidR="00E25586" w:rsidRDefault="00E25586" w:rsidP="0033067C">
            <w:pPr>
              <w:pStyle w:val="TableParagraph"/>
              <w:spacing w:before="120" w:after="120"/>
              <w:rPr>
                <w:rFonts w:ascii="Arial" w:hAnsi="Arial" w:cs="Arial"/>
              </w:rPr>
            </w:pPr>
            <w:r w:rsidRPr="00B36A10">
              <w:rPr>
                <w:rFonts w:ascii="Arial" w:hAnsi="Arial" w:cs="Arial"/>
              </w:rPr>
              <w:lastRenderedPageBreak/>
              <w:t xml:space="preserve">Achievements </w:t>
            </w:r>
          </w:p>
          <w:p w:rsidR="00E25586" w:rsidRPr="00B36A10" w:rsidRDefault="00E25586" w:rsidP="0033067C">
            <w:pPr>
              <w:pStyle w:val="TableParagraph"/>
              <w:spacing w:before="120" w:after="120"/>
              <w:rPr>
                <w:rFonts w:ascii="Arial" w:eastAsia="Arial" w:hAnsi="Arial" w:cs="Arial"/>
                <w:b w:val="0"/>
              </w:rPr>
            </w:pPr>
            <w:r w:rsidRPr="00B36A10">
              <w:rPr>
                <w:rFonts w:ascii="Arial" w:hAnsi="Arial" w:cs="Arial"/>
                <w:b w:val="0"/>
              </w:rPr>
              <w:t>In 201</w:t>
            </w:r>
            <w:r>
              <w:rPr>
                <w:rFonts w:ascii="Arial" w:hAnsi="Arial" w:cs="Arial"/>
                <w:b w:val="0"/>
              </w:rPr>
              <w:t>5</w:t>
            </w:r>
            <w:r w:rsidRPr="00B36A10">
              <w:rPr>
                <w:rFonts w:ascii="Arial" w:hAnsi="Arial" w:cs="Arial"/>
                <w:b w:val="0"/>
              </w:rPr>
              <w:t>-1</w:t>
            </w:r>
            <w:r>
              <w:rPr>
                <w:rFonts w:ascii="Arial" w:hAnsi="Arial" w:cs="Arial"/>
                <w:b w:val="0"/>
              </w:rPr>
              <w:t>6</w:t>
            </w:r>
            <w:r w:rsidRPr="00B36A10">
              <w:rPr>
                <w:rFonts w:ascii="Arial" w:hAnsi="Arial" w:cs="Arial"/>
                <w:b w:val="0"/>
              </w:rPr>
              <w:t xml:space="preserve">, the </w:t>
            </w:r>
            <w:r>
              <w:rPr>
                <w:rFonts w:ascii="Arial" w:hAnsi="Arial" w:cs="Arial"/>
                <w:b w:val="0"/>
              </w:rPr>
              <w:t>Executive Management Committee</w:t>
            </w:r>
            <w:r w:rsidRPr="00B36A10">
              <w:rPr>
                <w:rFonts w:ascii="Arial" w:hAnsi="Arial" w:cs="Arial"/>
                <w:b w:val="0"/>
              </w:rPr>
              <w:t>:</w:t>
            </w:r>
          </w:p>
          <w:p w:rsidR="00E25586" w:rsidRDefault="00E25586" w:rsidP="00207679">
            <w:pPr>
              <w:pStyle w:val="BodyText"/>
              <w:widowControl w:val="0"/>
              <w:numPr>
                <w:ilvl w:val="0"/>
                <w:numId w:val="19"/>
              </w:numPr>
              <w:spacing w:before="60" w:after="60" w:line="251" w:lineRule="exact"/>
              <w:ind w:left="473" w:hanging="360"/>
              <w:rPr>
                <w:b w:val="0"/>
              </w:rPr>
            </w:pPr>
            <w:r w:rsidRPr="00207679">
              <w:rPr>
                <w:b w:val="0"/>
                <w:bCs w:val="0"/>
              </w:rPr>
              <w:t>provided</w:t>
            </w:r>
            <w:r>
              <w:rPr>
                <w:b w:val="0"/>
              </w:rPr>
              <w:t xml:space="preserve"> strategic oversight for all IGEM reviews, assurance activities and major projects  </w:t>
            </w:r>
          </w:p>
          <w:p w:rsidR="00E25586" w:rsidRDefault="00E25586" w:rsidP="00207679">
            <w:pPr>
              <w:pStyle w:val="BodyText"/>
              <w:widowControl w:val="0"/>
              <w:numPr>
                <w:ilvl w:val="0"/>
                <w:numId w:val="19"/>
              </w:numPr>
              <w:spacing w:before="60" w:after="60" w:line="251" w:lineRule="exact"/>
              <w:ind w:left="473" w:hanging="360"/>
              <w:rPr>
                <w:b w:val="0"/>
              </w:rPr>
            </w:pPr>
            <w:r w:rsidRPr="00207679">
              <w:rPr>
                <w:b w:val="0"/>
                <w:bCs w:val="0"/>
              </w:rPr>
              <w:t>endorsed</w:t>
            </w:r>
            <w:r>
              <w:rPr>
                <w:b w:val="0"/>
              </w:rPr>
              <w:t xml:space="preserve"> the </w:t>
            </w:r>
            <w:r w:rsidRPr="000F0BC6">
              <w:rPr>
                <w:b w:val="0"/>
              </w:rPr>
              <w:t>Office of the IGEM Strategic Plan 2016-2020</w:t>
            </w:r>
            <w:r>
              <w:rPr>
                <w:b w:val="0"/>
              </w:rPr>
              <w:t xml:space="preserve"> </w:t>
            </w:r>
          </w:p>
          <w:p w:rsidR="00E25586" w:rsidRPr="00B36A10" w:rsidRDefault="00E25586" w:rsidP="001D695F">
            <w:pPr>
              <w:pStyle w:val="BodyText"/>
              <w:widowControl w:val="0"/>
              <w:numPr>
                <w:ilvl w:val="0"/>
                <w:numId w:val="19"/>
              </w:numPr>
              <w:spacing w:before="60" w:after="240" w:line="251" w:lineRule="exact"/>
              <w:ind w:left="473" w:hanging="360"/>
              <w:rPr>
                <w:b w:val="0"/>
              </w:rPr>
            </w:pPr>
            <w:r w:rsidRPr="00207679">
              <w:rPr>
                <w:b w:val="0"/>
                <w:bCs w:val="0"/>
              </w:rPr>
              <w:t>endorsed</w:t>
            </w:r>
            <w:r>
              <w:rPr>
                <w:b w:val="0"/>
              </w:rPr>
              <w:t xml:space="preserve"> the Office of the IGEM Operational Plan 2016-2017.</w:t>
            </w:r>
          </w:p>
        </w:tc>
      </w:tr>
    </w:tbl>
    <w:p w:rsidR="00540024" w:rsidRDefault="00540024">
      <w:pPr>
        <w:rPr>
          <w:rFonts w:ascii="Arial Bold" w:eastAsia="Times New Roman" w:hAnsi="Arial Bold"/>
          <w:b/>
          <w:i/>
          <w:color w:val="AB054C"/>
          <w:sz w:val="36"/>
          <w14:ligatures w14:val="standardContextual"/>
        </w:rPr>
      </w:pPr>
      <w:bookmarkStart w:id="184" w:name="_Toc458426061"/>
      <w:bookmarkStart w:id="185" w:name="_Toc415049806"/>
      <w:bookmarkStart w:id="186" w:name="_Toc415050358"/>
      <w:bookmarkStart w:id="187" w:name="_Toc441671817"/>
      <w:bookmarkStart w:id="188" w:name="_Toc441672105"/>
      <w:bookmarkStart w:id="189" w:name="_Toc442168892"/>
      <w:r>
        <w:br w:type="page"/>
      </w:r>
    </w:p>
    <w:p w:rsidR="006E1C5C" w:rsidRPr="002109B9" w:rsidRDefault="006E1C5C" w:rsidP="00C60996">
      <w:pPr>
        <w:pStyle w:val="Heading2"/>
        <w:spacing w:before="120" w:after="120"/>
      </w:pPr>
      <w:bookmarkStart w:id="190" w:name="_Toc460406684"/>
      <w:bookmarkStart w:id="191" w:name="_Toc460406834"/>
      <w:bookmarkStart w:id="192" w:name="_Toc460406870"/>
      <w:bookmarkStart w:id="193" w:name="_Toc460406949"/>
      <w:bookmarkStart w:id="194" w:name="_Toc460407063"/>
      <w:bookmarkStart w:id="195" w:name="_Toc460487966"/>
      <w:r w:rsidRPr="002109B9">
        <w:lastRenderedPageBreak/>
        <w:t>Ethics and code of conduct</w:t>
      </w:r>
      <w:bookmarkEnd w:id="184"/>
      <w:bookmarkEnd w:id="190"/>
      <w:bookmarkEnd w:id="191"/>
      <w:bookmarkEnd w:id="192"/>
      <w:bookmarkEnd w:id="193"/>
      <w:bookmarkEnd w:id="194"/>
      <w:bookmarkEnd w:id="195"/>
    </w:p>
    <w:p w:rsidR="007827F4" w:rsidRPr="007C2B1C" w:rsidRDefault="007827F4" w:rsidP="00B81DAB">
      <w:pPr>
        <w:pStyle w:val="Heading3"/>
      </w:pPr>
      <w:r w:rsidRPr="002109B9">
        <w:t>Ethical standards</w:t>
      </w:r>
    </w:p>
    <w:p w:rsidR="007827F4" w:rsidRPr="00A94CAE" w:rsidRDefault="007827F4" w:rsidP="00C60996">
      <w:r w:rsidRPr="00A94CAE">
        <w:t xml:space="preserve">The </w:t>
      </w:r>
      <w:r w:rsidR="00832481">
        <w:t xml:space="preserve">PSBA </w:t>
      </w:r>
      <w:r w:rsidRPr="00A94CAE">
        <w:t>Ethical Standards Unit's (ESU) primary responsibility is to assess complaints regarding</w:t>
      </w:r>
      <w:r w:rsidRPr="00A94CAE">
        <w:rPr>
          <w:spacing w:val="-22"/>
        </w:rPr>
        <w:t xml:space="preserve"> </w:t>
      </w:r>
      <w:r w:rsidRPr="00A94CAE">
        <w:t>the</w:t>
      </w:r>
      <w:r w:rsidRPr="00A94CAE">
        <w:rPr>
          <w:spacing w:val="-1"/>
        </w:rPr>
        <w:t xml:space="preserve"> </w:t>
      </w:r>
      <w:r w:rsidRPr="00A94CAE">
        <w:t>conduct of staff and volunteers within the Office of the IGEM, PSBA and QFES (the</w:t>
      </w:r>
      <w:r w:rsidRPr="00A94CAE">
        <w:rPr>
          <w:spacing w:val="-16"/>
        </w:rPr>
        <w:t xml:space="preserve"> </w:t>
      </w:r>
      <w:r w:rsidRPr="00A94CAE">
        <w:t xml:space="preserve">agencies). The ESU assesses complaints in accordance with the </w:t>
      </w:r>
      <w:r w:rsidRPr="00A94CAE">
        <w:rPr>
          <w:i/>
        </w:rPr>
        <w:t>Management of Complaints</w:t>
      </w:r>
      <w:r w:rsidRPr="00A94CAE">
        <w:rPr>
          <w:i/>
          <w:spacing w:val="-11"/>
        </w:rPr>
        <w:t xml:space="preserve"> </w:t>
      </w:r>
      <w:r w:rsidR="00440B66">
        <w:rPr>
          <w:i/>
          <w:spacing w:val="-11"/>
        </w:rPr>
        <w:t>a</w:t>
      </w:r>
      <w:r w:rsidRPr="00A94CAE">
        <w:rPr>
          <w:i/>
        </w:rPr>
        <w:t xml:space="preserve">bout Employees, Volunteers </w:t>
      </w:r>
      <w:r w:rsidR="00440B66">
        <w:rPr>
          <w:i/>
        </w:rPr>
        <w:t>and</w:t>
      </w:r>
      <w:r w:rsidRPr="00A94CAE">
        <w:rPr>
          <w:i/>
        </w:rPr>
        <w:t xml:space="preserve"> Contractors Policy </w:t>
      </w:r>
      <w:r w:rsidRPr="00A94CAE">
        <w:t xml:space="preserve">and </w:t>
      </w:r>
      <w:r w:rsidRPr="00A94CAE">
        <w:rPr>
          <w:i/>
        </w:rPr>
        <w:t>Procedure</w:t>
      </w:r>
      <w:r>
        <w:t xml:space="preserve">. </w:t>
      </w:r>
      <w:r w:rsidRPr="00A94CAE">
        <w:t>As outlined in the procedure,</w:t>
      </w:r>
      <w:r w:rsidRPr="00A94CAE">
        <w:rPr>
          <w:spacing w:val="-33"/>
        </w:rPr>
        <w:t xml:space="preserve"> </w:t>
      </w:r>
      <w:r w:rsidRPr="00A94CAE">
        <w:t>certain categories of complaints will be formally investigated by the ESU, whilst others will be referred</w:t>
      </w:r>
      <w:r w:rsidRPr="00E33F9D">
        <w:t xml:space="preserve"> </w:t>
      </w:r>
      <w:r w:rsidRPr="00A94CAE">
        <w:t>back to management within the relevant agency to deal with, often subject to oversight by the</w:t>
      </w:r>
      <w:r w:rsidRPr="00A94CAE">
        <w:rPr>
          <w:spacing w:val="-28"/>
        </w:rPr>
        <w:t xml:space="preserve"> </w:t>
      </w:r>
      <w:r w:rsidRPr="00A94CAE">
        <w:t>ESU.</w:t>
      </w:r>
    </w:p>
    <w:p w:rsidR="007827F4" w:rsidRPr="00A94CAE" w:rsidRDefault="007827F4" w:rsidP="00C60996">
      <w:pPr>
        <w:rPr>
          <w:rFonts w:eastAsia="Arial"/>
        </w:rPr>
      </w:pPr>
      <w:r w:rsidRPr="00A94CAE">
        <w:rPr>
          <w:rFonts w:eastAsia="Arial"/>
        </w:rPr>
        <w:t>In addition, the ESU has the following key roles and</w:t>
      </w:r>
      <w:r w:rsidRPr="00A94CAE">
        <w:rPr>
          <w:rFonts w:eastAsia="Arial"/>
          <w:spacing w:val="-23"/>
        </w:rPr>
        <w:t xml:space="preserve"> </w:t>
      </w:r>
      <w:r w:rsidRPr="00A94CAE">
        <w:rPr>
          <w:rFonts w:eastAsia="Arial"/>
        </w:rPr>
        <w:t>responsibilities:</w:t>
      </w:r>
    </w:p>
    <w:p w:rsidR="007827F4" w:rsidRPr="00A94CAE" w:rsidRDefault="007827F4" w:rsidP="00C60996">
      <w:pPr>
        <w:pStyle w:val="BodyText"/>
        <w:widowControl w:val="0"/>
        <w:numPr>
          <w:ilvl w:val="0"/>
          <w:numId w:val="19"/>
        </w:numPr>
        <w:spacing w:line="251" w:lineRule="exact"/>
        <w:ind w:left="473" w:hanging="360"/>
        <w:rPr>
          <w:rFonts w:eastAsia="Arial"/>
        </w:rPr>
      </w:pPr>
      <w:r w:rsidRPr="00A94CAE">
        <w:t>recording all complaints in the agencies' complaints management system except for Conduct</w:t>
      </w:r>
      <w:r w:rsidRPr="00A94CAE">
        <w:rPr>
          <w:spacing w:val="-29"/>
        </w:rPr>
        <w:t xml:space="preserve"> </w:t>
      </w:r>
      <w:r w:rsidRPr="00A94CAE">
        <w:t>and</w:t>
      </w:r>
      <w:r w:rsidRPr="00A94CAE">
        <w:rPr>
          <w:spacing w:val="-1"/>
        </w:rPr>
        <w:t xml:space="preserve"> </w:t>
      </w:r>
      <w:r w:rsidRPr="00A94CAE">
        <w:t>Performance Excellence (CaPE) Category 1 matters (Category 1 matters involve</w:t>
      </w:r>
      <w:r w:rsidRPr="00A94CAE">
        <w:rPr>
          <w:spacing w:val="-27"/>
        </w:rPr>
        <w:t xml:space="preserve"> </w:t>
      </w:r>
      <w:r w:rsidRPr="00A94CAE">
        <w:t>inappropriate interpersonal conduct with colleagues, clients or other stakeholders, inappropriate</w:t>
      </w:r>
      <w:r w:rsidRPr="00A94CAE">
        <w:rPr>
          <w:spacing w:val="-23"/>
        </w:rPr>
        <w:t xml:space="preserve"> </w:t>
      </w:r>
      <w:r w:rsidRPr="00A94CAE">
        <w:t>behaviour</w:t>
      </w:r>
      <w:r w:rsidRPr="00A94CAE">
        <w:rPr>
          <w:spacing w:val="-1"/>
        </w:rPr>
        <w:t xml:space="preserve"> </w:t>
      </w:r>
      <w:r w:rsidRPr="00A94CAE">
        <w:t>relating to minor management matters, and performance requiring</w:t>
      </w:r>
      <w:r w:rsidRPr="00A94CAE">
        <w:rPr>
          <w:spacing w:val="-11"/>
        </w:rPr>
        <w:t xml:space="preserve"> </w:t>
      </w:r>
      <w:r w:rsidRPr="00A94CAE">
        <w:t>improvement)</w:t>
      </w:r>
    </w:p>
    <w:p w:rsidR="007827F4" w:rsidRPr="00A94CAE" w:rsidRDefault="007827F4" w:rsidP="00C60996">
      <w:pPr>
        <w:pStyle w:val="BodyText"/>
        <w:widowControl w:val="0"/>
        <w:numPr>
          <w:ilvl w:val="0"/>
          <w:numId w:val="19"/>
        </w:numPr>
        <w:spacing w:line="251" w:lineRule="exact"/>
        <w:ind w:left="473" w:hanging="360"/>
        <w:rPr>
          <w:rFonts w:eastAsia="Arial"/>
        </w:rPr>
      </w:pPr>
      <w:r w:rsidRPr="00A94CAE">
        <w:t xml:space="preserve">acting as the agencies' central liaison point for the </w:t>
      </w:r>
      <w:r>
        <w:t>Crime and Corruption Commission</w:t>
      </w:r>
      <w:r w:rsidRPr="00A94CAE">
        <w:t xml:space="preserve"> </w:t>
      </w:r>
      <w:r w:rsidR="002D4FF3">
        <w:t xml:space="preserve">(CCC) </w:t>
      </w:r>
      <w:r w:rsidRPr="00A94CAE">
        <w:t>and the Queensland Ombudsman,</w:t>
      </w:r>
      <w:r w:rsidRPr="00A94CAE">
        <w:rPr>
          <w:spacing w:val="-35"/>
        </w:rPr>
        <w:t xml:space="preserve"> </w:t>
      </w:r>
      <w:r w:rsidRPr="00A94CAE">
        <w:t>and</w:t>
      </w:r>
      <w:r w:rsidRPr="00A94CAE">
        <w:rPr>
          <w:spacing w:val="-1"/>
        </w:rPr>
        <w:t xml:space="preserve"> </w:t>
      </w:r>
      <w:r w:rsidRPr="00A94CAE">
        <w:t xml:space="preserve">discharging the agencies' statutory obligations under the </w:t>
      </w:r>
      <w:r w:rsidRPr="00A94CAE">
        <w:rPr>
          <w:i/>
        </w:rPr>
        <w:t>Crime and Corruption Act</w:t>
      </w:r>
      <w:r w:rsidRPr="00A94CAE">
        <w:rPr>
          <w:i/>
          <w:spacing w:val="-17"/>
        </w:rPr>
        <w:t xml:space="preserve"> </w:t>
      </w:r>
      <w:r w:rsidRPr="00A94CAE">
        <w:rPr>
          <w:i/>
        </w:rPr>
        <w:t>2001</w:t>
      </w:r>
    </w:p>
    <w:p w:rsidR="007827F4" w:rsidRPr="00A94CAE" w:rsidRDefault="007827F4" w:rsidP="00C60996">
      <w:pPr>
        <w:pStyle w:val="BodyText"/>
        <w:widowControl w:val="0"/>
        <w:numPr>
          <w:ilvl w:val="0"/>
          <w:numId w:val="19"/>
        </w:numPr>
        <w:spacing w:line="251" w:lineRule="exact"/>
        <w:ind w:left="473" w:hanging="360"/>
        <w:rPr>
          <w:rFonts w:eastAsia="Arial"/>
        </w:rPr>
      </w:pPr>
      <w:r w:rsidRPr="00A94CAE">
        <w:t>overseeing the agencies' Public Interest Disclosure framework and assisting the agencies</w:t>
      </w:r>
      <w:r w:rsidRPr="00A94CAE">
        <w:rPr>
          <w:spacing w:val="-24"/>
        </w:rPr>
        <w:t xml:space="preserve"> </w:t>
      </w:r>
      <w:r w:rsidRPr="00A94CAE">
        <w:t xml:space="preserve">in fulfilling their statutory obligations under the </w:t>
      </w:r>
      <w:r w:rsidRPr="00A94CAE">
        <w:rPr>
          <w:i/>
        </w:rPr>
        <w:t>Public Interest Disclosure Act</w:t>
      </w:r>
      <w:r w:rsidRPr="00A94CAE">
        <w:rPr>
          <w:i/>
          <w:spacing w:val="-8"/>
        </w:rPr>
        <w:t xml:space="preserve"> </w:t>
      </w:r>
      <w:r w:rsidRPr="00A94CAE">
        <w:rPr>
          <w:i/>
        </w:rPr>
        <w:t>2010</w:t>
      </w:r>
    </w:p>
    <w:p w:rsidR="007827F4" w:rsidRPr="00A94CAE" w:rsidRDefault="007827F4" w:rsidP="00C60996">
      <w:pPr>
        <w:pStyle w:val="BodyText"/>
        <w:widowControl w:val="0"/>
        <w:numPr>
          <w:ilvl w:val="0"/>
          <w:numId w:val="19"/>
        </w:numPr>
        <w:spacing w:line="251" w:lineRule="exact"/>
        <w:ind w:left="473" w:hanging="360"/>
        <w:rPr>
          <w:rFonts w:eastAsia="Arial"/>
        </w:rPr>
      </w:pPr>
      <w:r w:rsidRPr="00A94CAE">
        <w:t>coordinating requests for Internal Review lodged by persons who are dissatisfied with the</w:t>
      </w:r>
      <w:r w:rsidRPr="00A94CAE">
        <w:rPr>
          <w:spacing w:val="-27"/>
        </w:rPr>
        <w:t xml:space="preserve"> </w:t>
      </w:r>
      <w:r w:rsidRPr="00A94CAE">
        <w:rPr>
          <w:spacing w:val="-2"/>
        </w:rPr>
        <w:t>way</w:t>
      </w:r>
      <w:r w:rsidRPr="00A94CAE">
        <w:rPr>
          <w:spacing w:val="-1"/>
        </w:rPr>
        <w:t xml:space="preserve"> </w:t>
      </w:r>
      <w:r w:rsidRPr="00A94CAE">
        <w:t>their complaints have been handled by the</w:t>
      </w:r>
      <w:r w:rsidRPr="00A94CAE">
        <w:rPr>
          <w:spacing w:val="-6"/>
        </w:rPr>
        <w:t xml:space="preserve"> </w:t>
      </w:r>
      <w:r w:rsidRPr="00A94CAE">
        <w:t>agencies.</w:t>
      </w:r>
    </w:p>
    <w:p w:rsidR="007827F4" w:rsidRPr="000F0BC6" w:rsidRDefault="007827F4" w:rsidP="00B81DAB">
      <w:pPr>
        <w:pStyle w:val="Heading3"/>
      </w:pPr>
      <w:r w:rsidRPr="000F0BC6">
        <w:t>Code of Conduct</w:t>
      </w:r>
    </w:p>
    <w:p w:rsidR="007827F4" w:rsidRPr="000F0BC6" w:rsidRDefault="000F0BC6" w:rsidP="00C60996">
      <w:pPr>
        <w:autoSpaceDE w:val="0"/>
        <w:autoSpaceDN w:val="0"/>
      </w:pPr>
      <w:r>
        <w:t>I</w:t>
      </w:r>
      <w:r w:rsidR="007827F4" w:rsidRPr="000F0BC6">
        <w:t xml:space="preserve">nduction training </w:t>
      </w:r>
      <w:r>
        <w:t xml:space="preserve">is provided </w:t>
      </w:r>
      <w:r w:rsidR="007827F4" w:rsidRPr="000F0BC6">
        <w:t xml:space="preserve">to Office of the IGEM employees as required. The induction training includes identifying aspects of negative workplace behaviours as well as an overview of the </w:t>
      </w:r>
      <w:r w:rsidR="007827F4" w:rsidRPr="000F0BC6">
        <w:rPr>
          <w:i/>
          <w:iCs/>
        </w:rPr>
        <w:t>Code of Conduct for the Queensland Public Service</w:t>
      </w:r>
      <w:r w:rsidR="007827F4" w:rsidRPr="000F0BC6">
        <w:t xml:space="preserve">. </w:t>
      </w:r>
    </w:p>
    <w:p w:rsidR="007827F4" w:rsidRPr="000F0BC6" w:rsidRDefault="007827F4" w:rsidP="00C60996">
      <w:pPr>
        <w:autoSpaceDE w:val="0"/>
        <w:autoSpaceDN w:val="0"/>
      </w:pPr>
      <w:r w:rsidRPr="000F0BC6">
        <w:t xml:space="preserve">The Office of the IGEM has retained partial responsibility for public sector ethics and code of conduct training for its employees, with Conflict Management Services within </w:t>
      </w:r>
      <w:r w:rsidR="00C951DB" w:rsidRPr="000F0BC6">
        <w:t xml:space="preserve">the </w:t>
      </w:r>
      <w:r w:rsidRPr="000F0BC6">
        <w:t>Human Resources Division, PSBA providing training upon request.</w:t>
      </w:r>
    </w:p>
    <w:p w:rsidR="00B95D08" w:rsidRDefault="00B95D08">
      <w:pPr>
        <w:rPr>
          <w:rFonts w:ascii="Arial Bold" w:eastAsia="Times New Roman" w:hAnsi="Arial Bold"/>
          <w:b/>
          <w:i/>
          <w:color w:val="AB054C"/>
          <w:sz w:val="36"/>
          <w14:ligatures w14:val="standardContextual"/>
        </w:rPr>
      </w:pPr>
      <w:r>
        <w:br w:type="page"/>
      </w:r>
    </w:p>
    <w:p w:rsidR="00426138" w:rsidRPr="000F0BC6" w:rsidRDefault="00CD630C" w:rsidP="00C60996">
      <w:pPr>
        <w:pStyle w:val="Heading2"/>
      </w:pPr>
      <w:bookmarkStart w:id="196" w:name="_Toc460406685"/>
      <w:bookmarkStart w:id="197" w:name="_Toc460406835"/>
      <w:bookmarkStart w:id="198" w:name="_Toc460406871"/>
      <w:bookmarkStart w:id="199" w:name="_Toc460406950"/>
      <w:bookmarkStart w:id="200" w:name="_Toc460407064"/>
      <w:bookmarkStart w:id="201" w:name="_Toc460487967"/>
      <w:r w:rsidRPr="000F0BC6">
        <w:lastRenderedPageBreak/>
        <w:t>Risk m</w:t>
      </w:r>
      <w:r w:rsidR="00426138" w:rsidRPr="000F0BC6">
        <w:t xml:space="preserve">anagement </w:t>
      </w:r>
      <w:r w:rsidR="0070144E" w:rsidRPr="000F0BC6">
        <w:t xml:space="preserve">and </w:t>
      </w:r>
      <w:r w:rsidRPr="000F0BC6">
        <w:t>a</w:t>
      </w:r>
      <w:r w:rsidR="00426138" w:rsidRPr="000F0BC6">
        <w:t>ccountability</w:t>
      </w:r>
      <w:bookmarkEnd w:id="185"/>
      <w:bookmarkEnd w:id="186"/>
      <w:bookmarkEnd w:id="187"/>
      <w:bookmarkEnd w:id="188"/>
      <w:bookmarkEnd w:id="189"/>
      <w:bookmarkEnd w:id="196"/>
      <w:bookmarkEnd w:id="197"/>
      <w:bookmarkEnd w:id="198"/>
      <w:bookmarkEnd w:id="199"/>
      <w:bookmarkEnd w:id="200"/>
      <w:bookmarkEnd w:id="201"/>
    </w:p>
    <w:p w:rsidR="00426138" w:rsidRPr="001046DB" w:rsidRDefault="00426138" w:rsidP="00B81DAB">
      <w:pPr>
        <w:pStyle w:val="Heading3"/>
      </w:pPr>
      <w:bookmarkStart w:id="202" w:name="_Toc441671819"/>
      <w:bookmarkStart w:id="203" w:name="_Toc441672107"/>
      <w:bookmarkStart w:id="204" w:name="_Toc442168894"/>
      <w:r w:rsidRPr="000F0BC6">
        <w:t xml:space="preserve">External </w:t>
      </w:r>
      <w:r w:rsidR="0087438B" w:rsidRPr="000F0BC6">
        <w:t>scrutiny</w:t>
      </w:r>
      <w:bookmarkEnd w:id="202"/>
      <w:bookmarkEnd w:id="203"/>
      <w:bookmarkEnd w:id="204"/>
    </w:p>
    <w:p w:rsidR="000D3E23" w:rsidRPr="00F578BE" w:rsidRDefault="000D3E23" w:rsidP="007C7159">
      <w:pPr>
        <w:rPr>
          <w:rFonts w:eastAsia="Times New Roman"/>
          <w:lang w:eastAsia="en-AU"/>
        </w:rPr>
      </w:pPr>
      <w:r w:rsidRPr="00983277">
        <w:rPr>
          <w:rFonts w:eastAsia="Times New Roman"/>
          <w:lang w:eastAsia="en-AU"/>
        </w:rPr>
        <w:t>This section provides information about external agencies and processes which examined the operations of the Office of the IGEM or other agencies during 2015-16 with findings/issues requiring consideration by, or impacting on, the Office of the IGEM:</w:t>
      </w:r>
    </w:p>
    <w:p w:rsidR="000D3E23" w:rsidRPr="00F578BE" w:rsidRDefault="000D3E23" w:rsidP="00207679">
      <w:pPr>
        <w:pStyle w:val="BodyText"/>
        <w:widowControl w:val="0"/>
        <w:numPr>
          <w:ilvl w:val="0"/>
          <w:numId w:val="19"/>
        </w:numPr>
        <w:spacing w:before="60" w:after="60" w:line="251" w:lineRule="exact"/>
        <w:ind w:left="473" w:hanging="360"/>
        <w:rPr>
          <w:b/>
        </w:rPr>
      </w:pPr>
      <w:r w:rsidRPr="00F578BE">
        <w:rPr>
          <w:b/>
        </w:rPr>
        <w:t>Review of the P</w:t>
      </w:r>
      <w:r>
        <w:rPr>
          <w:b/>
        </w:rPr>
        <w:t>SBA</w:t>
      </w:r>
      <w:r w:rsidRPr="00F578BE">
        <w:rPr>
          <w:b/>
        </w:rPr>
        <w:t xml:space="preserve"> </w:t>
      </w:r>
    </w:p>
    <w:p w:rsidR="000D3E23" w:rsidRPr="00F578BE" w:rsidRDefault="000D3E23" w:rsidP="007B5CCA">
      <w:pPr>
        <w:autoSpaceDE w:val="0"/>
        <w:autoSpaceDN w:val="0"/>
        <w:ind w:left="482"/>
      </w:pPr>
      <w:r w:rsidRPr="000D3E23">
        <w:rPr>
          <w:rFonts w:eastAsia="Times New Roman"/>
          <w:lang w:eastAsia="en-AU"/>
        </w:rPr>
        <w:t>The</w:t>
      </w:r>
      <w:r w:rsidRPr="00F578BE">
        <w:t xml:space="preserve"> </w:t>
      </w:r>
      <w:r w:rsidRPr="000D3E23">
        <w:rPr>
          <w:rFonts w:eastAsia="Times New Roman"/>
          <w:lang w:eastAsia="en-AU"/>
        </w:rPr>
        <w:t>Public</w:t>
      </w:r>
      <w:r w:rsidRPr="00F578BE">
        <w:t xml:space="preserve"> Service Commission undertook an independent review of the PSBA from May to November 2015. The review considered the scope, function and structure of the PSBA to ensure it </w:t>
      </w:r>
      <w:r w:rsidRPr="007B5CCA">
        <w:rPr>
          <w:rFonts w:eastAsia="Times New Roman"/>
          <w:color w:val="000000"/>
          <w:lang w:eastAsia="en-AU"/>
        </w:rPr>
        <w:t>effectively</w:t>
      </w:r>
      <w:r w:rsidRPr="00F578BE">
        <w:t xml:space="preserve"> supports public safety service delivery to the community.</w:t>
      </w:r>
    </w:p>
    <w:p w:rsidR="000D3E23" w:rsidRPr="00F578BE" w:rsidRDefault="000D3E23" w:rsidP="007B5CCA">
      <w:pPr>
        <w:autoSpaceDE w:val="0"/>
        <w:autoSpaceDN w:val="0"/>
        <w:ind w:left="482"/>
        <w:rPr>
          <w:rFonts w:eastAsia="Times New Roman"/>
        </w:rPr>
      </w:pPr>
      <w:r w:rsidRPr="007B5CCA">
        <w:rPr>
          <w:rFonts w:eastAsia="Times New Roman"/>
          <w:color w:val="000000"/>
          <w:lang w:eastAsia="en-AU"/>
        </w:rPr>
        <w:t>The</w:t>
      </w:r>
      <w:r w:rsidRPr="00F578BE">
        <w:rPr>
          <w:rFonts w:eastAsia="Times New Roman"/>
        </w:rPr>
        <w:t xml:space="preserve"> review involved extensive engagement with frontline staff, including firefighters and police officers, other </w:t>
      </w:r>
      <w:r w:rsidRPr="000D3E23">
        <w:t>employees</w:t>
      </w:r>
      <w:r w:rsidRPr="00F578BE">
        <w:rPr>
          <w:rFonts w:eastAsia="Times New Roman"/>
        </w:rPr>
        <w:t xml:space="preserve"> within the portfolio, and relevant external stakeholders.</w:t>
      </w:r>
    </w:p>
    <w:p w:rsidR="000D3E23" w:rsidRPr="00F578BE" w:rsidRDefault="000D3E23" w:rsidP="007B5CCA">
      <w:pPr>
        <w:autoSpaceDE w:val="0"/>
        <w:autoSpaceDN w:val="0"/>
        <w:ind w:left="482"/>
        <w:rPr>
          <w:rFonts w:eastAsia="Times New Roman"/>
        </w:rPr>
      </w:pPr>
      <w:r w:rsidRPr="007B5CCA">
        <w:rPr>
          <w:rFonts w:eastAsia="Times New Roman"/>
          <w:color w:val="000000"/>
          <w:lang w:eastAsia="en-AU"/>
        </w:rPr>
        <w:t>The</w:t>
      </w:r>
      <w:r w:rsidRPr="00F578BE">
        <w:rPr>
          <w:rFonts w:eastAsia="Times New Roman"/>
        </w:rPr>
        <w:t xml:space="preserve"> final report was tabled in Parliament on 17 February 2016 and is available online at </w:t>
      </w:r>
      <w:hyperlink r:id="rId69" w:history="1">
        <w:r w:rsidRPr="000D3E23">
          <w:rPr>
            <w:rFonts w:eastAsia="Times New Roman"/>
            <w:color w:val="AB054C"/>
            <w:u w:val="single"/>
          </w:rPr>
          <w:t>www.qld.gov.au/about/how-government-works/government-structure/public-service-commission/what-we-do/review-psba.html</w:t>
        </w:r>
      </w:hyperlink>
      <w:r w:rsidRPr="00F578BE">
        <w:rPr>
          <w:rFonts w:eastAsia="Times New Roman"/>
        </w:rPr>
        <w:t>.</w:t>
      </w:r>
    </w:p>
    <w:p w:rsidR="000D3E23" w:rsidRPr="00F578BE" w:rsidRDefault="000D3E23" w:rsidP="007B5CCA">
      <w:pPr>
        <w:autoSpaceDE w:val="0"/>
        <w:autoSpaceDN w:val="0"/>
        <w:ind w:left="482"/>
        <w:rPr>
          <w:rFonts w:eastAsia="Times New Roman"/>
        </w:rPr>
      </w:pPr>
      <w:r w:rsidRPr="00F578BE">
        <w:rPr>
          <w:rFonts w:eastAsia="Times New Roman"/>
        </w:rPr>
        <w:t xml:space="preserve">The final </w:t>
      </w:r>
      <w:r w:rsidRPr="000D3E23">
        <w:t>report</w:t>
      </w:r>
      <w:r w:rsidRPr="00F578BE">
        <w:rPr>
          <w:rFonts w:eastAsia="Times New Roman"/>
        </w:rPr>
        <w:t xml:space="preserve"> identified eight recommendations, including revising the scope of the PSBA, and </w:t>
      </w:r>
      <w:r w:rsidRPr="007B5CCA">
        <w:rPr>
          <w:rFonts w:eastAsia="Times New Roman"/>
          <w:color w:val="000000"/>
          <w:lang w:eastAsia="en-AU"/>
        </w:rPr>
        <w:t>implementing</w:t>
      </w:r>
      <w:r w:rsidRPr="00F578BE">
        <w:rPr>
          <w:rFonts w:eastAsia="Times New Roman"/>
        </w:rPr>
        <w:t xml:space="preserve"> a new operating model and governance structure. The Queensland Government accepted the recommendations of the review with the exception of recommendation 6 (to transfer the Police Air Wing to QPS). Further work will be progressed on this recommendation. </w:t>
      </w:r>
    </w:p>
    <w:p w:rsidR="000D3E23" w:rsidRPr="00F578BE" w:rsidRDefault="000D3E23" w:rsidP="007B5CCA">
      <w:pPr>
        <w:autoSpaceDE w:val="0"/>
        <w:autoSpaceDN w:val="0"/>
        <w:ind w:left="482"/>
        <w:rPr>
          <w:rFonts w:eastAsia="Times New Roman"/>
        </w:rPr>
      </w:pPr>
      <w:r>
        <w:rPr>
          <w:rFonts w:eastAsia="Times New Roman"/>
        </w:rPr>
        <w:t>The PSBA</w:t>
      </w:r>
      <w:r w:rsidRPr="00F578BE">
        <w:rPr>
          <w:rFonts w:eastAsia="Times New Roman"/>
        </w:rPr>
        <w:t xml:space="preserve"> Interim Board of Management (BoM</w:t>
      </w:r>
      <w:r w:rsidRPr="004B5B46">
        <w:rPr>
          <w:rFonts w:eastAsia="Times New Roman"/>
        </w:rPr>
        <w:t>) was established in 2016 to progress the</w:t>
      </w:r>
      <w:r w:rsidRPr="00F578BE">
        <w:rPr>
          <w:rFonts w:eastAsia="Times New Roman"/>
        </w:rPr>
        <w:t xml:space="preserve"> </w:t>
      </w:r>
      <w:r>
        <w:rPr>
          <w:rFonts w:eastAsia="Times New Roman"/>
        </w:rPr>
        <w:t>r</w:t>
      </w:r>
      <w:r w:rsidRPr="00F578BE">
        <w:rPr>
          <w:rFonts w:eastAsia="Times New Roman"/>
        </w:rPr>
        <w:t xml:space="preserve">eview </w:t>
      </w:r>
      <w:r w:rsidRPr="007B5CCA">
        <w:rPr>
          <w:rFonts w:eastAsia="Times New Roman"/>
          <w:color w:val="000000"/>
          <w:lang w:eastAsia="en-AU"/>
        </w:rPr>
        <w:t>recommendations</w:t>
      </w:r>
      <w:r w:rsidRPr="00F578BE">
        <w:rPr>
          <w:rFonts w:eastAsia="Times New Roman"/>
        </w:rPr>
        <w:t xml:space="preserve"> and provide peak governance and coordination until a mature governance framework and organisational structure is in place. </w:t>
      </w:r>
    </w:p>
    <w:p w:rsidR="000D3E23" w:rsidRPr="00F578BE" w:rsidRDefault="000D3E23" w:rsidP="007B5CCA">
      <w:pPr>
        <w:autoSpaceDE w:val="0"/>
        <w:autoSpaceDN w:val="0"/>
        <w:ind w:left="482"/>
        <w:rPr>
          <w:rFonts w:eastAsia="Times New Roman"/>
        </w:rPr>
      </w:pPr>
      <w:r>
        <w:rPr>
          <w:rFonts w:eastAsia="Times New Roman"/>
        </w:rPr>
        <w:t xml:space="preserve">The </w:t>
      </w:r>
      <w:r w:rsidRPr="000D3E23">
        <w:t>Interim</w:t>
      </w:r>
      <w:r>
        <w:rPr>
          <w:rFonts w:eastAsia="Times New Roman"/>
        </w:rPr>
        <w:t xml:space="preserve"> </w:t>
      </w:r>
      <w:r w:rsidRPr="00F578BE">
        <w:rPr>
          <w:rFonts w:eastAsia="Times New Roman"/>
        </w:rPr>
        <w:t>BoM consists of the C</w:t>
      </w:r>
      <w:r w:rsidR="000657A4">
        <w:rPr>
          <w:rFonts w:eastAsia="Times New Roman"/>
        </w:rPr>
        <w:t>ommissioner, QPS, Ian Stewart (C</w:t>
      </w:r>
      <w:r w:rsidRPr="00F578BE">
        <w:rPr>
          <w:rFonts w:eastAsia="Times New Roman"/>
        </w:rPr>
        <w:t>hair), the Commissioner, QFES, Katarina Carroll and an appointed external member, Geoff Waite, Assistant Under Treasurer, Queensland Treasury. The Interim BoM convened its first meeting on 16 May 2016 and met again on 14 June 2016.</w:t>
      </w:r>
    </w:p>
    <w:p w:rsidR="000D3E23" w:rsidRPr="00F578BE" w:rsidRDefault="000D3E23" w:rsidP="007B5CCA">
      <w:pPr>
        <w:autoSpaceDE w:val="0"/>
        <w:autoSpaceDN w:val="0"/>
        <w:ind w:left="482"/>
        <w:rPr>
          <w:rFonts w:eastAsia="Times New Roman"/>
        </w:rPr>
      </w:pPr>
      <w:r w:rsidRPr="00F578BE">
        <w:rPr>
          <w:rFonts w:eastAsia="Times New Roman"/>
        </w:rPr>
        <w:t xml:space="preserve">In line with the review recommendations, a number of functions transitioned to the </w:t>
      </w:r>
      <w:r w:rsidR="002755B8">
        <w:rPr>
          <w:rFonts w:eastAsia="Times New Roman"/>
        </w:rPr>
        <w:t xml:space="preserve">QFES and </w:t>
      </w:r>
      <w:r w:rsidRPr="00F578BE">
        <w:rPr>
          <w:rFonts w:eastAsia="Times New Roman"/>
        </w:rPr>
        <w:t xml:space="preserve">QPS by 1 July </w:t>
      </w:r>
      <w:r w:rsidRPr="000D3E23">
        <w:t>2016</w:t>
      </w:r>
      <w:r>
        <w:rPr>
          <w:rFonts w:eastAsia="Times New Roman"/>
        </w:rPr>
        <w:t>,</w:t>
      </w:r>
      <w:r w:rsidRPr="00F578BE">
        <w:rPr>
          <w:rFonts w:eastAsia="Times New Roman"/>
        </w:rPr>
        <w:t xml:space="preserve"> and all substantive police officer positions returned to the QPS from the PSBA. </w:t>
      </w:r>
    </w:p>
    <w:p w:rsidR="000D3E23" w:rsidRPr="00F578BE" w:rsidRDefault="000D3E23" w:rsidP="007B5CCA">
      <w:pPr>
        <w:autoSpaceDE w:val="0"/>
        <w:autoSpaceDN w:val="0"/>
        <w:ind w:left="482"/>
      </w:pPr>
      <w:r w:rsidRPr="00F578BE">
        <w:t xml:space="preserve">In addition, in order to implement the key review recommendations, a number of legislative </w:t>
      </w:r>
      <w:r w:rsidRPr="007B5CCA">
        <w:rPr>
          <w:rFonts w:eastAsia="Times New Roman"/>
          <w:color w:val="000000"/>
          <w:lang w:eastAsia="en-AU"/>
        </w:rPr>
        <w:t>amendments</w:t>
      </w:r>
      <w:r w:rsidRPr="00F578BE">
        <w:t xml:space="preserve"> are required and on 24 May 2016, the Minister for Police, Fire and Emergency Services and Minister for Corrective Services, introduced the </w:t>
      </w:r>
      <w:r w:rsidRPr="00F578BE">
        <w:rPr>
          <w:i/>
        </w:rPr>
        <w:t xml:space="preserve">Public Safety Business Agency and Other Legislation Amendment Bill 2016 </w:t>
      </w:r>
      <w:r w:rsidRPr="00F578BE">
        <w:t>(the Bill)</w:t>
      </w:r>
      <w:r w:rsidRPr="00F578BE">
        <w:rPr>
          <w:i/>
        </w:rPr>
        <w:t xml:space="preserve"> </w:t>
      </w:r>
      <w:r w:rsidRPr="00F578BE">
        <w:t xml:space="preserve">into Parliament. </w:t>
      </w:r>
    </w:p>
    <w:p w:rsidR="000D3E23" w:rsidRPr="00F578BE" w:rsidRDefault="000D3E23" w:rsidP="007B5CCA">
      <w:pPr>
        <w:autoSpaceDE w:val="0"/>
        <w:autoSpaceDN w:val="0"/>
        <w:ind w:left="482"/>
      </w:pPr>
      <w:r w:rsidRPr="00F578BE">
        <w:t xml:space="preserve">The Bill </w:t>
      </w:r>
      <w:r w:rsidRPr="007B5CCA">
        <w:rPr>
          <w:rFonts w:eastAsia="Times New Roman"/>
          <w:color w:val="000000"/>
          <w:lang w:eastAsia="en-AU"/>
        </w:rPr>
        <w:t>proposes</w:t>
      </w:r>
      <w:r w:rsidRPr="00F578BE">
        <w:t xml:space="preserve"> to implement various recommendations of the review by amending legislation to:</w:t>
      </w:r>
    </w:p>
    <w:p w:rsidR="000D3E23" w:rsidRPr="00F578BE" w:rsidRDefault="000D3E23" w:rsidP="002335C3">
      <w:pPr>
        <w:widowControl w:val="0"/>
        <w:numPr>
          <w:ilvl w:val="0"/>
          <w:numId w:val="32"/>
        </w:numPr>
        <w:tabs>
          <w:tab w:val="left" w:pos="833"/>
        </w:tabs>
        <w:spacing w:before="60" w:after="60"/>
        <w:ind w:left="828" w:hanging="357"/>
      </w:pPr>
      <w:r w:rsidRPr="00F578BE">
        <w:t xml:space="preserve">amend the functions of the PSBA </w:t>
      </w:r>
    </w:p>
    <w:p w:rsidR="000D3E23" w:rsidRPr="00F578BE" w:rsidRDefault="000D3E23" w:rsidP="002335C3">
      <w:pPr>
        <w:widowControl w:val="0"/>
        <w:numPr>
          <w:ilvl w:val="0"/>
          <w:numId w:val="32"/>
        </w:numPr>
        <w:tabs>
          <w:tab w:val="left" w:pos="833"/>
        </w:tabs>
        <w:spacing w:before="60" w:after="60"/>
        <w:ind w:left="828" w:hanging="357"/>
      </w:pPr>
      <w:r w:rsidRPr="00F578BE">
        <w:t>establish the PSBA Board of Management</w:t>
      </w:r>
    </w:p>
    <w:p w:rsidR="000D3E23" w:rsidRPr="00F578BE" w:rsidRDefault="000D3E23" w:rsidP="002335C3">
      <w:pPr>
        <w:widowControl w:val="0"/>
        <w:numPr>
          <w:ilvl w:val="0"/>
          <w:numId w:val="32"/>
        </w:numPr>
        <w:tabs>
          <w:tab w:val="left" w:pos="833"/>
        </w:tabs>
        <w:spacing w:before="60" w:after="60"/>
        <w:ind w:left="828" w:hanging="357"/>
      </w:pPr>
      <w:r w:rsidRPr="00F578BE">
        <w:t xml:space="preserve">change the role of the PSBA </w:t>
      </w:r>
      <w:r w:rsidR="0087438B">
        <w:t>C</w:t>
      </w:r>
      <w:r w:rsidRPr="00F578BE">
        <w:t xml:space="preserve">hief </w:t>
      </w:r>
      <w:r w:rsidR="0087438B">
        <w:t>E</w:t>
      </w:r>
      <w:r w:rsidRPr="00F578BE">
        <w:t xml:space="preserve">xecutive </w:t>
      </w:r>
      <w:r w:rsidR="0087438B">
        <w:t>O</w:t>
      </w:r>
      <w:r w:rsidRPr="00F578BE">
        <w:t xml:space="preserve">fficer to PSBA </w:t>
      </w:r>
      <w:r w:rsidR="0087438B">
        <w:t>C</w:t>
      </w:r>
      <w:r w:rsidRPr="00F578BE">
        <w:t xml:space="preserve">hief </w:t>
      </w:r>
      <w:r w:rsidR="0087438B">
        <w:t>O</w:t>
      </w:r>
      <w:r w:rsidRPr="00F578BE">
        <w:t xml:space="preserve">perating </w:t>
      </w:r>
      <w:r w:rsidR="0087438B">
        <w:t>O</w:t>
      </w:r>
      <w:r w:rsidRPr="00F578BE">
        <w:t xml:space="preserve">fficer </w:t>
      </w:r>
    </w:p>
    <w:p w:rsidR="000D3E23" w:rsidRPr="00F578BE" w:rsidRDefault="000D3E23" w:rsidP="002335C3">
      <w:pPr>
        <w:widowControl w:val="0"/>
        <w:numPr>
          <w:ilvl w:val="0"/>
          <w:numId w:val="32"/>
        </w:numPr>
        <w:tabs>
          <w:tab w:val="left" w:pos="833"/>
        </w:tabs>
        <w:spacing w:before="60" w:after="60"/>
        <w:ind w:left="828" w:hanging="357"/>
      </w:pPr>
      <w:r w:rsidRPr="00F578BE">
        <w:t>finalise the machinery-of-government changes that will allow Blue Card Services to transition to the D</w:t>
      </w:r>
      <w:r w:rsidR="00203BDC">
        <w:t>JAG</w:t>
      </w:r>
      <w:r>
        <w:t>,</w:t>
      </w:r>
      <w:r w:rsidRPr="00F578BE">
        <w:t xml:space="preserve"> and allow for the comprehensive integration of State Government Security into the QPS.</w:t>
      </w:r>
    </w:p>
    <w:p w:rsidR="00B95D08" w:rsidRDefault="000D3E23" w:rsidP="007B5CCA">
      <w:pPr>
        <w:autoSpaceDE w:val="0"/>
        <w:autoSpaceDN w:val="0"/>
        <w:ind w:left="482"/>
        <w:rPr>
          <w:bCs/>
        </w:rPr>
      </w:pPr>
      <w:r w:rsidRPr="00F578BE">
        <w:t xml:space="preserve">The Bill was referred to the Legal Affairs and Community Safety Committee for consideration. The </w:t>
      </w:r>
      <w:r w:rsidRPr="007B5CCA">
        <w:rPr>
          <w:rFonts w:eastAsia="Times New Roman"/>
          <w:color w:val="000000"/>
          <w:lang w:eastAsia="en-AU"/>
        </w:rPr>
        <w:t>committee</w:t>
      </w:r>
      <w:r w:rsidRPr="00F578BE">
        <w:t xml:space="preserve"> is required to report back to Parliament on the Bill by </w:t>
      </w:r>
      <w:r w:rsidRPr="00F578BE">
        <w:rPr>
          <w:bCs/>
        </w:rPr>
        <w:t>2 August 2016.</w:t>
      </w:r>
    </w:p>
    <w:p w:rsidR="00B95D08" w:rsidRDefault="00B95D08">
      <w:pPr>
        <w:rPr>
          <w:bCs/>
        </w:rPr>
      </w:pPr>
      <w:r>
        <w:rPr>
          <w:bCs/>
        </w:rPr>
        <w:br w:type="page"/>
      </w:r>
    </w:p>
    <w:p w:rsidR="000D3E23" w:rsidRPr="00F578BE" w:rsidRDefault="000D3E23" w:rsidP="00207679">
      <w:pPr>
        <w:pStyle w:val="BodyText"/>
        <w:widowControl w:val="0"/>
        <w:numPr>
          <w:ilvl w:val="0"/>
          <w:numId w:val="19"/>
        </w:numPr>
        <w:spacing w:before="60" w:after="60" w:line="251" w:lineRule="exact"/>
        <w:ind w:left="473" w:hanging="360"/>
        <w:rPr>
          <w:b/>
        </w:rPr>
      </w:pPr>
      <w:r w:rsidRPr="00F578BE">
        <w:rPr>
          <w:b/>
        </w:rPr>
        <w:lastRenderedPageBreak/>
        <w:t>Crime and Corruption Commission</w:t>
      </w:r>
    </w:p>
    <w:p w:rsidR="000D3E23" w:rsidRPr="00F578BE" w:rsidRDefault="000D3E23" w:rsidP="007B5CCA">
      <w:pPr>
        <w:autoSpaceDE w:val="0"/>
        <w:autoSpaceDN w:val="0"/>
        <w:ind w:left="482"/>
        <w:rPr>
          <w:rFonts w:eastAsia="Times New Roman"/>
          <w:lang w:eastAsia="en-AU"/>
        </w:rPr>
      </w:pPr>
      <w:r w:rsidRPr="00F578BE">
        <w:rPr>
          <w:rFonts w:eastAsia="Times New Roman"/>
          <w:color w:val="000000"/>
          <w:lang w:eastAsia="en-AU"/>
        </w:rPr>
        <w:t xml:space="preserve">The CCC is a statutory body established to combat and reduce the incidence </w:t>
      </w:r>
      <w:r w:rsidRPr="000D3E23">
        <w:t>of</w:t>
      </w:r>
      <w:r w:rsidRPr="00F578BE">
        <w:rPr>
          <w:rFonts w:eastAsia="Times New Roman"/>
          <w:color w:val="000000"/>
          <w:lang w:eastAsia="en-AU"/>
        </w:rPr>
        <w:t xml:space="preserve"> major crime and corruption in the public sector in Queensland. Its functions and powers are set out in the </w:t>
      </w:r>
      <w:r w:rsidRPr="00F578BE">
        <w:rPr>
          <w:rFonts w:eastAsia="Times New Roman"/>
          <w:i/>
          <w:iCs/>
          <w:color w:val="000000"/>
          <w:lang w:eastAsia="en-AU"/>
        </w:rPr>
        <w:t>Crime and Corruption Act 2001</w:t>
      </w:r>
      <w:r w:rsidRPr="00F578BE">
        <w:rPr>
          <w:rFonts w:eastAsia="Times New Roman"/>
          <w:color w:val="000000"/>
          <w:lang w:eastAsia="en-AU"/>
        </w:rPr>
        <w:t xml:space="preserve">. The CCC investigates both crime and corruption, has oversight of both the police and the public sector, and protects witnesses. </w:t>
      </w:r>
    </w:p>
    <w:p w:rsidR="000D3E23" w:rsidRPr="00F578BE" w:rsidRDefault="000D3E23" w:rsidP="002335C3">
      <w:pPr>
        <w:widowControl w:val="0"/>
        <w:numPr>
          <w:ilvl w:val="0"/>
          <w:numId w:val="30"/>
        </w:numPr>
        <w:tabs>
          <w:tab w:val="left" w:pos="833"/>
        </w:tabs>
        <w:spacing w:before="60" w:after="60"/>
        <w:ind w:left="839" w:hanging="357"/>
        <w:rPr>
          <w:b/>
        </w:rPr>
      </w:pPr>
      <w:r w:rsidRPr="00F578BE">
        <w:rPr>
          <w:b/>
        </w:rPr>
        <w:t xml:space="preserve">Confidential information </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In May 2016, the CCC released a paper on confidential information examining unauthorised access, disclosure and the risks of corruption in the Queensland public sector. The paper contains examples of inappropriate access or use of confidential information, risks of improperly using confidential information, case studies and findings of the CCC’s audit into how agencies handle misuse of confidential information.</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lang w:eastAsia="en-AU"/>
        </w:rPr>
        <w:t xml:space="preserve">PSBA manages privacy and right to information services on behalf of the Office of the IGEM and has reviewed the CCC’s paper. It is expected that PSBA will address </w:t>
      </w:r>
      <w:r w:rsidR="000F0BC6">
        <w:rPr>
          <w:lang w:eastAsia="en-AU"/>
        </w:rPr>
        <w:t xml:space="preserve">issues </w:t>
      </w:r>
      <w:r w:rsidRPr="00F578BE">
        <w:rPr>
          <w:lang w:eastAsia="en-AU"/>
        </w:rPr>
        <w:t xml:space="preserve">raised in the paper on </w:t>
      </w:r>
      <w:r w:rsidRPr="007B5CCA">
        <w:rPr>
          <w:rFonts w:eastAsia="Times New Roman"/>
          <w:lang w:eastAsia="en-AU"/>
        </w:rPr>
        <w:t>behalf</w:t>
      </w:r>
      <w:r w:rsidRPr="00F578BE">
        <w:rPr>
          <w:lang w:eastAsia="en-AU"/>
        </w:rPr>
        <w:t xml:space="preserve"> of the Office of the IGEM in the future.</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 xml:space="preserve">The paper is </w:t>
      </w:r>
      <w:r w:rsidRPr="000D3E23">
        <w:rPr>
          <w:lang w:eastAsia="en-AU"/>
        </w:rPr>
        <w:t>available</w:t>
      </w:r>
      <w:r w:rsidRPr="00F578BE">
        <w:rPr>
          <w:rFonts w:eastAsia="Times New Roman"/>
          <w:lang w:eastAsia="en-AU"/>
        </w:rPr>
        <w:t xml:space="preserve"> online at </w:t>
      </w:r>
      <w:hyperlink r:id="rId70" w:history="1">
        <w:r w:rsidRPr="000D3E23">
          <w:rPr>
            <w:rFonts w:eastAsia="Times New Roman"/>
            <w:color w:val="AB054C"/>
            <w:u w:val="single"/>
            <w:lang w:eastAsia="en-AU"/>
          </w:rPr>
          <w:t>www.ccc.qld.gov.au/research-and-publications</w:t>
        </w:r>
      </w:hyperlink>
      <w:r w:rsidRPr="00F578BE">
        <w:rPr>
          <w:rFonts w:eastAsia="Times New Roman"/>
          <w:lang w:eastAsia="en-AU"/>
        </w:rPr>
        <w:t>.</w:t>
      </w:r>
    </w:p>
    <w:p w:rsidR="000D3E23" w:rsidRPr="00F578BE" w:rsidRDefault="000D3E23" w:rsidP="00207679">
      <w:pPr>
        <w:pStyle w:val="BodyText"/>
        <w:widowControl w:val="0"/>
        <w:numPr>
          <w:ilvl w:val="0"/>
          <w:numId w:val="19"/>
        </w:numPr>
        <w:spacing w:before="60" w:after="60" w:line="251" w:lineRule="exact"/>
        <w:ind w:left="473" w:hanging="360"/>
        <w:rPr>
          <w:rFonts w:eastAsia="Times New Roman"/>
          <w:b/>
          <w:bCs/>
          <w:color w:val="000000"/>
        </w:rPr>
      </w:pPr>
      <w:r w:rsidRPr="000D3E23">
        <w:rPr>
          <w:b/>
        </w:rPr>
        <w:t>Queensland</w:t>
      </w:r>
      <w:r w:rsidRPr="00F578BE">
        <w:rPr>
          <w:rFonts w:eastAsia="Times New Roman"/>
          <w:b/>
          <w:bCs/>
          <w:color w:val="000000"/>
        </w:rPr>
        <w:t xml:space="preserve"> Audit Office</w:t>
      </w:r>
    </w:p>
    <w:p w:rsidR="000D3E23" w:rsidRPr="00F578BE" w:rsidRDefault="000D3E23" w:rsidP="007B5CCA">
      <w:pPr>
        <w:autoSpaceDE w:val="0"/>
        <w:autoSpaceDN w:val="0"/>
        <w:ind w:left="482"/>
        <w:rPr>
          <w:rFonts w:eastAsia="Times New Roman"/>
          <w:lang w:eastAsia="en-AU"/>
        </w:rPr>
      </w:pPr>
      <w:r w:rsidRPr="00F578BE">
        <w:rPr>
          <w:rFonts w:eastAsia="Times New Roman"/>
          <w:lang w:eastAsia="en-AU"/>
        </w:rPr>
        <w:t>The QAO supports the role of the Auditor-General of Queensland</w:t>
      </w:r>
      <w:r>
        <w:rPr>
          <w:rFonts w:eastAsia="Times New Roman"/>
          <w:lang w:eastAsia="en-AU"/>
        </w:rPr>
        <w:t xml:space="preserve"> </w:t>
      </w:r>
      <w:r w:rsidRPr="00F578BE">
        <w:rPr>
          <w:rFonts w:eastAsia="Times New Roman"/>
          <w:lang w:eastAsia="en-AU"/>
        </w:rPr>
        <w:t xml:space="preserve">in providing the Parliament with an independent assessment of the financial management and performance activities of public sector entities. The QAO provides an independent audit service and reports to the Parliament to enhance public sector accountability. QAO reports are available online at </w:t>
      </w:r>
      <w:hyperlink r:id="rId71" w:history="1">
        <w:r w:rsidRPr="000D3E23">
          <w:rPr>
            <w:rFonts w:eastAsia="Times New Roman"/>
            <w:color w:val="AB054C"/>
            <w:u w:val="single"/>
            <w:lang w:eastAsia="en-AU"/>
          </w:rPr>
          <w:t>www.qao.qld.gov.au/reports-tabled-in-2015-16-financial-year</w:t>
        </w:r>
      </w:hyperlink>
      <w:r w:rsidRPr="00F578BE">
        <w:rPr>
          <w:rFonts w:eastAsia="Times New Roman"/>
          <w:lang w:eastAsia="en-AU"/>
        </w:rPr>
        <w:t>.</w:t>
      </w:r>
    </w:p>
    <w:p w:rsidR="000D3E23" w:rsidRPr="00F578BE" w:rsidRDefault="000D3E23" w:rsidP="002335C3">
      <w:pPr>
        <w:widowControl w:val="0"/>
        <w:numPr>
          <w:ilvl w:val="0"/>
          <w:numId w:val="31"/>
        </w:numPr>
        <w:tabs>
          <w:tab w:val="left" w:pos="833"/>
        </w:tabs>
        <w:spacing w:before="60" w:after="60"/>
        <w:ind w:left="828" w:hanging="357"/>
        <w:rPr>
          <w:rFonts w:eastAsia="Times New Roman"/>
          <w:lang w:eastAsia="en-AU"/>
        </w:rPr>
      </w:pPr>
      <w:r w:rsidRPr="00F578BE">
        <w:rPr>
          <w:rFonts w:eastAsia="Times New Roman"/>
          <w:lang w:eastAsia="en-AU"/>
        </w:rPr>
        <w:t xml:space="preserve">Report to Parliament 1: </w:t>
      </w:r>
      <w:r w:rsidRPr="00F578BE">
        <w:rPr>
          <w:rFonts w:eastAsia="Times New Roman"/>
          <w:i/>
          <w:lang w:eastAsia="en-AU"/>
        </w:rPr>
        <w:t>Internal control systems 2014-15</w:t>
      </w:r>
      <w:r w:rsidRPr="00F578BE">
        <w:rPr>
          <w:rFonts w:eastAsia="Times New Roman"/>
          <w:lang w:eastAsia="en-AU"/>
        </w:rPr>
        <w:t xml:space="preserve">  </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The report summarises the results of QAO’s evaluations of the systems of financial control and its selective testing of the internal controls that operated within the 21 government departments during 2014-15. The report also includes evaluations of the effectiveness of internal financial management reporting and an examination of the disaster recovery planning used in four departments to recover their computer systems after a disruptive event, such as floods or power outages.</w:t>
      </w:r>
    </w:p>
    <w:p w:rsidR="000D3E23"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 xml:space="preserve">While the Office of the IGEM was not one of the four departments examined for disaster recovery planning, the Office </w:t>
      </w:r>
      <w:r w:rsidR="000F0BC6">
        <w:rPr>
          <w:rFonts w:eastAsia="Times New Roman"/>
          <w:lang w:eastAsia="en-AU"/>
        </w:rPr>
        <w:t xml:space="preserve">is aware of the risks </w:t>
      </w:r>
      <w:r w:rsidRPr="00F578BE">
        <w:rPr>
          <w:rFonts w:eastAsia="Times New Roman"/>
          <w:lang w:eastAsia="en-AU"/>
        </w:rPr>
        <w:t>to its circ</w:t>
      </w:r>
      <w:r w:rsidR="00444C45">
        <w:rPr>
          <w:rFonts w:eastAsia="Times New Roman"/>
          <w:lang w:eastAsia="en-AU"/>
        </w:rPr>
        <w:t xml:space="preserve">umstances and future planning. </w:t>
      </w:r>
      <w:r w:rsidRPr="00F578BE">
        <w:rPr>
          <w:rFonts w:eastAsia="Times New Roman"/>
          <w:lang w:eastAsia="en-AU"/>
        </w:rPr>
        <w:t xml:space="preserve">PSBA’s Frontline and Digital Services Division has an ongoing program of work regarding business continuity planning and disaster recovery. The program focuses on critical systems used by the Office of the IGEM, QFES, QPS and the Queensland Ambulance Service </w:t>
      </w:r>
      <w:r w:rsidR="00CF77B7">
        <w:rPr>
          <w:rFonts w:eastAsia="Times New Roman"/>
          <w:lang w:eastAsia="en-AU"/>
        </w:rPr>
        <w:t xml:space="preserve">(QAS) </w:t>
      </w:r>
      <w:r w:rsidRPr="00F578BE">
        <w:rPr>
          <w:rFonts w:eastAsia="Times New Roman"/>
          <w:lang w:eastAsia="en-AU"/>
        </w:rPr>
        <w:t>and includes Disaster Recovery Plans for all critical components of the systems, test strategies and plans. From a governance perspective, the division has a Continuity Management Team and Disaster Recovery Management Group who are the key players in a continuity event, and these teams are educated through scenario testing and process familiarisation to ensure they are prepared for a critical event.</w:t>
      </w:r>
    </w:p>
    <w:p w:rsidR="000D3E23" w:rsidRPr="00983277" w:rsidRDefault="0075612B" w:rsidP="007B5CCA">
      <w:pPr>
        <w:widowControl w:val="0"/>
        <w:autoSpaceDE w:val="0"/>
        <w:autoSpaceDN w:val="0"/>
        <w:adjustRightInd w:val="0"/>
        <w:ind w:left="822" w:right="6"/>
        <w:rPr>
          <w:rFonts w:eastAsia="Times New Roman"/>
          <w:lang w:eastAsia="en-AU"/>
        </w:rPr>
      </w:pPr>
      <w:r w:rsidRPr="005204BF">
        <w:rPr>
          <w:rFonts w:eastAsia="Times New Roman"/>
          <w:lang w:eastAsia="en-AU"/>
        </w:rPr>
        <w:t xml:space="preserve">The QAO report did not refer to the </w:t>
      </w:r>
      <w:r w:rsidR="000D3E23" w:rsidRPr="005204BF">
        <w:rPr>
          <w:rFonts w:eastAsia="Times New Roman"/>
          <w:lang w:eastAsia="en-AU"/>
        </w:rPr>
        <w:t>financial controls and internal management reporting elements of the Office of the IGEM.</w:t>
      </w:r>
      <w:r w:rsidR="000D3E23" w:rsidRPr="00983277">
        <w:rPr>
          <w:rFonts w:eastAsia="Times New Roman"/>
          <w:lang w:eastAsia="en-AU"/>
        </w:rPr>
        <w:t xml:space="preserve"> </w:t>
      </w:r>
    </w:p>
    <w:p w:rsidR="000D3E23" w:rsidRPr="00F578BE" w:rsidRDefault="000D3E23" w:rsidP="002335C3">
      <w:pPr>
        <w:widowControl w:val="0"/>
        <w:numPr>
          <w:ilvl w:val="0"/>
          <w:numId w:val="31"/>
        </w:numPr>
        <w:tabs>
          <w:tab w:val="left" w:pos="833"/>
        </w:tabs>
        <w:spacing w:before="60" w:after="60"/>
        <w:ind w:left="828" w:hanging="357"/>
        <w:rPr>
          <w:rFonts w:eastAsia="Times New Roman"/>
          <w:lang w:eastAsia="en-AU"/>
        </w:rPr>
      </w:pPr>
      <w:r w:rsidRPr="00F578BE">
        <w:rPr>
          <w:rFonts w:eastAsia="Times New Roman"/>
          <w:lang w:eastAsia="en-AU"/>
        </w:rPr>
        <w:t xml:space="preserve">Report to Parliament 6: </w:t>
      </w:r>
      <w:r w:rsidRPr="00F578BE">
        <w:rPr>
          <w:rFonts w:eastAsia="Times New Roman"/>
          <w:i/>
          <w:lang w:eastAsia="en-AU"/>
        </w:rPr>
        <w:t xml:space="preserve">State public sector entities: 2014-15 financial statements </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In 2014-15, Queensland’s state public sector delivered services and goods to benefit the public. To demonstrate their accountability in managing public money on behalf of the Queensland community, all state public sector entities must report on their finances and have them audited. The Auditor-General of Queensland, supported by the QAO, is responsible for providing Parliament with an independent assessment of the financial management of public sector agencies.</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lastRenderedPageBreak/>
        <w:t>The report discusses the status and nature of the audit opinions QAO issues; comments on the timeliness and quality of financial reporting; and explains how QAO assessed the key audit matters disclosed by state public sector entities.</w:t>
      </w:r>
    </w:p>
    <w:p w:rsidR="000D3E23" w:rsidRPr="00B536A1" w:rsidRDefault="000D3E23" w:rsidP="007B5CCA">
      <w:pPr>
        <w:widowControl w:val="0"/>
        <w:autoSpaceDE w:val="0"/>
        <w:autoSpaceDN w:val="0"/>
        <w:adjustRightInd w:val="0"/>
        <w:ind w:left="822" w:right="6"/>
        <w:rPr>
          <w:rFonts w:eastAsia="Times New Roman"/>
          <w:lang w:eastAsia="en-AU"/>
        </w:rPr>
      </w:pPr>
      <w:r w:rsidRPr="00B536A1">
        <w:rPr>
          <w:rFonts w:eastAsia="Times New Roman"/>
          <w:lang w:eastAsia="en-AU"/>
        </w:rPr>
        <w:t>The report refers to the Office of the IGEM</w:t>
      </w:r>
      <w:r w:rsidR="000F0BC6">
        <w:rPr>
          <w:rFonts w:eastAsia="Times New Roman"/>
          <w:lang w:eastAsia="en-AU"/>
        </w:rPr>
        <w:t>’s</w:t>
      </w:r>
      <w:r w:rsidRPr="00B536A1">
        <w:rPr>
          <w:rFonts w:eastAsia="Times New Roman"/>
          <w:lang w:eastAsia="en-AU"/>
        </w:rPr>
        <w:t xml:space="preserve"> statutory date for certification of the 2014-15 financial statements</w:t>
      </w:r>
      <w:r w:rsidR="000F0BC6">
        <w:rPr>
          <w:rFonts w:eastAsia="Times New Roman"/>
          <w:lang w:eastAsia="en-AU"/>
        </w:rPr>
        <w:t xml:space="preserve">, and the </w:t>
      </w:r>
      <w:r w:rsidRPr="00B536A1">
        <w:rPr>
          <w:rFonts w:eastAsia="Times New Roman"/>
          <w:lang w:eastAsia="en-AU"/>
        </w:rPr>
        <w:t>complexities related to attributing amounts for below fair value services received from the PSBA. In 2015-16, support</w:t>
      </w:r>
      <w:r w:rsidR="000F0BC6">
        <w:rPr>
          <w:rFonts w:eastAsia="Times New Roman"/>
          <w:lang w:eastAsia="en-AU"/>
        </w:rPr>
        <w:t>ed</w:t>
      </w:r>
      <w:r w:rsidRPr="00B536A1">
        <w:rPr>
          <w:rFonts w:eastAsia="Times New Roman"/>
          <w:lang w:eastAsia="en-AU"/>
        </w:rPr>
        <w:t xml:space="preserve"> </w:t>
      </w:r>
      <w:r w:rsidR="000F0BC6">
        <w:rPr>
          <w:rFonts w:eastAsia="Times New Roman"/>
          <w:lang w:eastAsia="en-AU"/>
        </w:rPr>
        <w:t xml:space="preserve">by </w:t>
      </w:r>
      <w:r w:rsidRPr="00B536A1">
        <w:rPr>
          <w:rFonts w:eastAsia="Times New Roman"/>
          <w:lang w:eastAsia="en-AU"/>
        </w:rPr>
        <w:t xml:space="preserve">PSBA, the Office of the IGEM consulted with the QAO and implemented strategies to facilitate certification of the financial statements by the statutory date of 31 August 2016. </w:t>
      </w:r>
    </w:p>
    <w:p w:rsidR="000D3E23" w:rsidRPr="00FF1A70" w:rsidRDefault="000D3E23" w:rsidP="00D80EA7">
      <w:pPr>
        <w:widowControl w:val="0"/>
        <w:autoSpaceDE w:val="0"/>
        <w:autoSpaceDN w:val="0"/>
        <w:adjustRightInd w:val="0"/>
        <w:ind w:left="822"/>
        <w:rPr>
          <w:rFonts w:eastAsia="Times New Roman"/>
          <w:lang w:eastAsia="en-AU"/>
        </w:rPr>
      </w:pPr>
      <w:r w:rsidRPr="000657A4">
        <w:rPr>
          <w:rFonts w:eastAsia="Times New Roman"/>
          <w:lang w:eastAsia="en-AU"/>
        </w:rPr>
        <w:t>The report also refers to the QAO’s results of a controls assessment of the L</w:t>
      </w:r>
      <w:r w:rsidR="000F0BC6">
        <w:rPr>
          <w:rFonts w:eastAsia="Times New Roman"/>
          <w:lang w:eastAsia="en-AU"/>
        </w:rPr>
        <w:t>ATTICE</w:t>
      </w:r>
      <w:r w:rsidRPr="000657A4">
        <w:rPr>
          <w:rFonts w:eastAsia="Times New Roman"/>
          <w:lang w:eastAsia="en-AU"/>
        </w:rPr>
        <w:t xml:space="preserve"> payroll system (used by the Office of the IGEM, QFES, Queensland Corrective Services </w:t>
      </w:r>
      <w:r w:rsidR="00203BDC">
        <w:rPr>
          <w:rFonts w:eastAsia="Times New Roman"/>
          <w:lang w:eastAsia="en-AU"/>
        </w:rPr>
        <w:t xml:space="preserve">(QCS) </w:t>
      </w:r>
      <w:r w:rsidRPr="000657A4">
        <w:rPr>
          <w:rFonts w:eastAsia="Times New Roman"/>
          <w:lang w:eastAsia="en-AU"/>
        </w:rPr>
        <w:t>and the Q</w:t>
      </w:r>
      <w:r w:rsidR="00CF77B7">
        <w:rPr>
          <w:rFonts w:eastAsia="Times New Roman"/>
          <w:lang w:eastAsia="en-AU"/>
        </w:rPr>
        <w:t>AS</w:t>
      </w:r>
      <w:r w:rsidRPr="000657A4">
        <w:rPr>
          <w:rFonts w:eastAsia="Times New Roman"/>
          <w:lang w:eastAsia="en-AU"/>
        </w:rPr>
        <w:t xml:space="preserve">) which is outside of vendor support. The QAO assessed as low risk that this issue could result in misreported figures in the financial statements. The Office of IGEM </w:t>
      </w:r>
      <w:r w:rsidR="000657A4" w:rsidRPr="000657A4">
        <w:rPr>
          <w:rFonts w:eastAsia="Times New Roman"/>
          <w:lang w:eastAsia="en-AU"/>
        </w:rPr>
        <w:t>will migrate from L</w:t>
      </w:r>
      <w:r w:rsidR="000F0BC6">
        <w:rPr>
          <w:rFonts w:eastAsia="Times New Roman"/>
          <w:lang w:eastAsia="en-AU"/>
        </w:rPr>
        <w:t>ATTICE</w:t>
      </w:r>
      <w:r w:rsidR="000657A4" w:rsidRPr="000657A4">
        <w:rPr>
          <w:rFonts w:eastAsia="Times New Roman"/>
          <w:lang w:eastAsia="en-AU"/>
        </w:rPr>
        <w:t xml:space="preserve"> to Aurion with the fir</w:t>
      </w:r>
      <w:r w:rsidR="00444C45">
        <w:rPr>
          <w:rFonts w:eastAsia="Times New Roman"/>
          <w:lang w:eastAsia="en-AU"/>
        </w:rPr>
        <w:t>st pay to be run in July 2016</w:t>
      </w:r>
      <w:r w:rsidR="000F0BC6">
        <w:rPr>
          <w:rFonts w:eastAsia="Times New Roman"/>
          <w:lang w:eastAsia="en-AU"/>
        </w:rPr>
        <w:t xml:space="preserve">, mitigating </w:t>
      </w:r>
      <w:r w:rsidRPr="000657A4">
        <w:rPr>
          <w:rFonts w:eastAsia="Times New Roman"/>
          <w:lang w:eastAsia="en-AU"/>
        </w:rPr>
        <w:t>the risks raised in the report. An update on the H</w:t>
      </w:r>
      <w:r w:rsidR="00B84859">
        <w:rPr>
          <w:rFonts w:eastAsia="Times New Roman"/>
          <w:lang w:eastAsia="en-AU"/>
        </w:rPr>
        <w:t>uman Resource</w:t>
      </w:r>
      <w:r w:rsidR="00B43E57">
        <w:rPr>
          <w:rFonts w:eastAsia="Times New Roman"/>
          <w:lang w:eastAsia="en-AU"/>
        </w:rPr>
        <w:t xml:space="preserve"> Information Solution (H</w:t>
      </w:r>
      <w:r w:rsidRPr="000657A4">
        <w:rPr>
          <w:rFonts w:eastAsia="Times New Roman"/>
          <w:lang w:eastAsia="en-AU"/>
        </w:rPr>
        <w:t>RIS</w:t>
      </w:r>
      <w:r w:rsidR="00B43E57">
        <w:rPr>
          <w:rFonts w:eastAsia="Times New Roman"/>
          <w:lang w:eastAsia="en-AU"/>
        </w:rPr>
        <w:t>)</w:t>
      </w:r>
      <w:r w:rsidRPr="000657A4">
        <w:rPr>
          <w:rFonts w:eastAsia="Times New Roman"/>
          <w:lang w:eastAsia="en-AU"/>
        </w:rPr>
        <w:t xml:space="preserve"> project to replace the L</w:t>
      </w:r>
      <w:r w:rsidR="000F0BC6">
        <w:rPr>
          <w:rFonts w:eastAsia="Times New Roman"/>
          <w:lang w:eastAsia="en-AU"/>
        </w:rPr>
        <w:t>ATTICE</w:t>
      </w:r>
      <w:r w:rsidRPr="000657A4">
        <w:rPr>
          <w:rFonts w:eastAsia="Times New Roman"/>
          <w:lang w:eastAsia="en-AU"/>
        </w:rPr>
        <w:t xml:space="preserve"> payroll </w:t>
      </w:r>
      <w:r w:rsidRPr="0031113D">
        <w:rPr>
          <w:rFonts w:eastAsia="Times New Roman"/>
          <w:lang w:eastAsia="en-AU"/>
        </w:rPr>
        <w:t xml:space="preserve">system is provided on page </w:t>
      </w:r>
      <w:r w:rsidR="0031113D" w:rsidRPr="0031113D">
        <w:rPr>
          <w:rFonts w:eastAsia="Times New Roman"/>
          <w:lang w:eastAsia="en-AU"/>
        </w:rPr>
        <w:t>42</w:t>
      </w:r>
      <w:r w:rsidRPr="0031113D">
        <w:rPr>
          <w:rFonts w:eastAsia="Times New Roman"/>
          <w:lang w:eastAsia="en-AU"/>
        </w:rPr>
        <w:t>.</w:t>
      </w:r>
    </w:p>
    <w:p w:rsidR="000D3E23" w:rsidRPr="00F578BE" w:rsidRDefault="000D3E23" w:rsidP="00207679">
      <w:pPr>
        <w:widowControl w:val="0"/>
        <w:numPr>
          <w:ilvl w:val="0"/>
          <w:numId w:val="31"/>
        </w:numPr>
        <w:tabs>
          <w:tab w:val="left" w:pos="833"/>
        </w:tabs>
        <w:spacing w:before="60" w:after="60"/>
        <w:ind w:left="828" w:right="77" w:hanging="357"/>
        <w:rPr>
          <w:rFonts w:eastAsia="Times New Roman"/>
          <w:lang w:eastAsia="en-AU"/>
        </w:rPr>
      </w:pPr>
      <w:r w:rsidRPr="00F578BE">
        <w:rPr>
          <w:rFonts w:eastAsia="Times New Roman"/>
          <w:lang w:eastAsia="en-AU"/>
        </w:rPr>
        <w:t>Report to Parliament 13</w:t>
      </w:r>
      <w:r w:rsidRPr="00F578BE">
        <w:rPr>
          <w:rFonts w:eastAsia="Times New Roman"/>
          <w:i/>
          <w:lang w:eastAsia="en-AU"/>
        </w:rPr>
        <w:t xml:space="preserve">: Cloud Computing </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The audit examined how well departments are adopting the Queensland cloud computing strategy in modernising their information and communication</w:t>
      </w:r>
      <w:r w:rsidR="00B50C2F">
        <w:rPr>
          <w:rFonts w:eastAsia="Times New Roman"/>
          <w:lang w:eastAsia="en-AU"/>
        </w:rPr>
        <w:t>s</w:t>
      </w:r>
      <w:r w:rsidRPr="00F578BE">
        <w:rPr>
          <w:rFonts w:eastAsia="Times New Roman"/>
          <w:lang w:eastAsia="en-AU"/>
        </w:rPr>
        <w:t xml:space="preserve"> technology </w:t>
      </w:r>
      <w:r w:rsidR="000657A4">
        <w:rPr>
          <w:rFonts w:eastAsia="Times New Roman"/>
          <w:lang w:eastAsia="en-AU"/>
        </w:rPr>
        <w:t xml:space="preserve">(ICT) </w:t>
      </w:r>
      <w:r w:rsidRPr="00F578BE">
        <w:rPr>
          <w:rFonts w:eastAsia="Times New Roman"/>
          <w:lang w:eastAsia="en-AU"/>
        </w:rPr>
        <w:t>assets and services to deliver business value while managing risks.</w:t>
      </w:r>
    </w:p>
    <w:p w:rsidR="000D3E23" w:rsidRPr="00F578BE" w:rsidRDefault="000D3E23" w:rsidP="007B5CCA">
      <w:pPr>
        <w:widowControl w:val="0"/>
        <w:autoSpaceDE w:val="0"/>
        <w:autoSpaceDN w:val="0"/>
        <w:adjustRightInd w:val="0"/>
        <w:ind w:left="822" w:right="6"/>
        <w:rPr>
          <w:rFonts w:eastAsia="Times New Roman"/>
          <w:lang w:eastAsia="en-AU"/>
        </w:rPr>
      </w:pPr>
      <w:r w:rsidRPr="00F578BE">
        <w:rPr>
          <w:rFonts w:eastAsia="Times New Roman"/>
          <w:lang w:eastAsia="en-AU"/>
        </w:rPr>
        <w:t xml:space="preserve">The Office of the IGEM has adopted the strategy and is progressing a cloud computing solution for the </w:t>
      </w:r>
      <w:r w:rsidR="000F0BC6">
        <w:rPr>
          <w:rFonts w:eastAsia="Times New Roman"/>
          <w:lang w:eastAsia="en-AU"/>
        </w:rPr>
        <w:t xml:space="preserve">IGEM Stakeholder </w:t>
      </w:r>
      <w:r w:rsidRPr="00F578BE">
        <w:rPr>
          <w:rFonts w:eastAsia="Times New Roman"/>
          <w:lang w:eastAsia="en-AU"/>
        </w:rPr>
        <w:t>Portal, which will be used as a key communication platform during disasters.</w:t>
      </w:r>
    </w:p>
    <w:p w:rsidR="00426138" w:rsidRPr="00A01CB2" w:rsidRDefault="00426138" w:rsidP="00B81DAB">
      <w:pPr>
        <w:pStyle w:val="Heading3"/>
      </w:pPr>
      <w:bookmarkStart w:id="205" w:name="_Toc441671820"/>
      <w:bookmarkStart w:id="206" w:name="_Toc441672108"/>
      <w:bookmarkStart w:id="207" w:name="_Toc442168895"/>
      <w:r w:rsidRPr="000F0BC6">
        <w:t>Internal audit</w:t>
      </w:r>
      <w:bookmarkEnd w:id="205"/>
      <w:bookmarkEnd w:id="206"/>
      <w:bookmarkEnd w:id="207"/>
    </w:p>
    <w:p w:rsidR="003E333A" w:rsidRPr="00DE679E" w:rsidRDefault="003E333A" w:rsidP="003E333A">
      <w:pPr>
        <w:autoSpaceDE w:val="0"/>
        <w:autoSpaceDN w:val="0"/>
        <w:adjustRightInd w:val="0"/>
        <w:rPr>
          <w:szCs w:val="22"/>
        </w:rPr>
      </w:pPr>
      <w:r w:rsidRPr="00DE679E">
        <w:rPr>
          <w:szCs w:val="22"/>
        </w:rPr>
        <w:t xml:space="preserve">The PSBA Internal Audit Unit is an independent unit that provides advice across a wide range of disciplines including risk, assurance, information technology, finance, compliance and general consulting activities for the Office of the IGEM, PSBA, QFES and QPS. </w:t>
      </w:r>
    </w:p>
    <w:p w:rsidR="003E333A" w:rsidRPr="00DE679E" w:rsidRDefault="003E333A" w:rsidP="003E333A">
      <w:pPr>
        <w:autoSpaceDE w:val="0"/>
        <w:autoSpaceDN w:val="0"/>
        <w:adjustRightInd w:val="0"/>
        <w:rPr>
          <w:szCs w:val="22"/>
        </w:rPr>
      </w:pPr>
      <w:r w:rsidRPr="00DE679E">
        <w:rPr>
          <w:szCs w:val="22"/>
        </w:rPr>
        <w:t xml:space="preserve">The Head of Internal Audit (HIA), PSBA is also the nominated HIA for the Office of the IGEM, QFES and QPS in accordance with the </w:t>
      </w:r>
      <w:r w:rsidR="002014B6">
        <w:rPr>
          <w:i/>
          <w:szCs w:val="22"/>
        </w:rPr>
        <w:t>Financial Accountability Act </w:t>
      </w:r>
      <w:r w:rsidR="002014B6" w:rsidRPr="00D13FD3">
        <w:rPr>
          <w:i/>
          <w:szCs w:val="22"/>
        </w:rPr>
        <w:t>2009</w:t>
      </w:r>
      <w:r w:rsidR="002014B6">
        <w:rPr>
          <w:i/>
          <w:szCs w:val="22"/>
        </w:rPr>
        <w:t>.</w:t>
      </w:r>
    </w:p>
    <w:p w:rsidR="003E333A" w:rsidRPr="00DE679E" w:rsidRDefault="003E333A" w:rsidP="003E333A">
      <w:pPr>
        <w:autoSpaceDE w:val="0"/>
        <w:autoSpaceDN w:val="0"/>
        <w:adjustRightInd w:val="0"/>
        <w:rPr>
          <w:szCs w:val="22"/>
        </w:rPr>
      </w:pPr>
      <w:r w:rsidRPr="00DE679E">
        <w:rPr>
          <w:szCs w:val="22"/>
        </w:rPr>
        <w:t>The work of the Internal Audit Unit is undertaken in accordance with the Institute of Internal Auditors’ standards and under an approved charter which is consistent with relevant audit and ethical standards.</w:t>
      </w:r>
    </w:p>
    <w:p w:rsidR="003E333A" w:rsidRPr="00DE679E" w:rsidRDefault="003E333A" w:rsidP="003E333A">
      <w:pPr>
        <w:autoSpaceDE w:val="0"/>
        <w:autoSpaceDN w:val="0"/>
        <w:adjustRightInd w:val="0"/>
        <w:rPr>
          <w:szCs w:val="22"/>
        </w:rPr>
      </w:pPr>
      <w:r w:rsidRPr="00DE679E">
        <w:rPr>
          <w:szCs w:val="22"/>
        </w:rPr>
        <w:t xml:space="preserve">In accordance with the </w:t>
      </w:r>
      <w:r w:rsidRPr="00DE679E">
        <w:rPr>
          <w:i/>
          <w:iCs/>
          <w:szCs w:val="22"/>
        </w:rPr>
        <w:t xml:space="preserve">Financial and Performance Management Standard 2009, </w:t>
      </w:r>
      <w:r w:rsidRPr="00DE679E">
        <w:rPr>
          <w:szCs w:val="22"/>
        </w:rPr>
        <w:t xml:space="preserve">an annual audit plan and four year strategic plan sets the direction of the unit. The </w:t>
      </w:r>
      <w:r w:rsidR="00B50C2F">
        <w:rPr>
          <w:szCs w:val="22"/>
        </w:rPr>
        <w:t>p</w:t>
      </w:r>
      <w:r w:rsidRPr="00DE679E">
        <w:rPr>
          <w:szCs w:val="22"/>
        </w:rPr>
        <w:t xml:space="preserve">ublic </w:t>
      </w:r>
      <w:r w:rsidR="00B50C2F">
        <w:rPr>
          <w:szCs w:val="22"/>
        </w:rPr>
        <w:t>s</w:t>
      </w:r>
      <w:r w:rsidRPr="00DE679E">
        <w:rPr>
          <w:szCs w:val="22"/>
        </w:rPr>
        <w:t xml:space="preserve">afety </w:t>
      </w:r>
      <w:r w:rsidR="00B50C2F">
        <w:rPr>
          <w:szCs w:val="22"/>
        </w:rPr>
        <w:t>p</w:t>
      </w:r>
      <w:r w:rsidRPr="00DE679E">
        <w:rPr>
          <w:szCs w:val="22"/>
        </w:rPr>
        <w:t xml:space="preserve">ortfolio </w:t>
      </w:r>
      <w:r w:rsidRPr="00DE679E">
        <w:rPr>
          <w:i/>
          <w:szCs w:val="22"/>
        </w:rPr>
        <w:t>Annual Internal Audit Plan 2015-2016</w:t>
      </w:r>
      <w:r w:rsidRPr="00DE679E">
        <w:rPr>
          <w:szCs w:val="22"/>
        </w:rPr>
        <w:t xml:space="preserve"> was endorsed by the Public Safety Portfolio Audit and Risk Committee and approved by the former Chief Executive Officer, PSBA on 19 May 2015. </w:t>
      </w:r>
    </w:p>
    <w:p w:rsidR="003E333A" w:rsidRPr="00DE679E" w:rsidRDefault="003E333A" w:rsidP="003E333A">
      <w:pPr>
        <w:autoSpaceDE w:val="0"/>
        <w:autoSpaceDN w:val="0"/>
        <w:adjustRightInd w:val="0"/>
        <w:rPr>
          <w:szCs w:val="22"/>
        </w:rPr>
      </w:pPr>
      <w:r w:rsidRPr="00DE679E">
        <w:rPr>
          <w:szCs w:val="22"/>
        </w:rPr>
        <w:t xml:space="preserve">As secretariat to the Public Safety Portfolio Audit and Risk Committee, the unit ensures that all relevant guidelines, particularly Queensland Treasury’s </w:t>
      </w:r>
      <w:r w:rsidRPr="00DE679E">
        <w:rPr>
          <w:i/>
          <w:szCs w:val="22"/>
        </w:rPr>
        <w:t>Audit Committee Guidelines: Improving Accountability and Performance</w:t>
      </w:r>
      <w:r w:rsidRPr="00DE679E">
        <w:rPr>
          <w:szCs w:val="22"/>
        </w:rPr>
        <w:t>, are adhered to, and that the functioning of the unit complies with these guidelines in all material respects.</w:t>
      </w:r>
    </w:p>
    <w:p w:rsidR="002014B6" w:rsidRDefault="003E333A" w:rsidP="003E333A">
      <w:pPr>
        <w:autoSpaceDE w:val="0"/>
        <w:autoSpaceDN w:val="0"/>
        <w:adjustRightInd w:val="0"/>
        <w:rPr>
          <w:szCs w:val="22"/>
        </w:rPr>
      </w:pPr>
      <w:r w:rsidRPr="00DE679E">
        <w:rPr>
          <w:szCs w:val="22"/>
        </w:rPr>
        <w:t>The unit assists management to achieve its objectives by using a systematic, disciplined approach to review and improve the effectiveness of risk management and internal control and governance processes, improving the overall level of compliance and accountability. Under its approved charter, the unit can undertake a series of review types including compliance (effectiveness), performance (efficiency), financial management and information technology, to identify areas of risk and to improve outcomes. Systems are in place to ensure the effective, efficient and economic operation of the audit function.</w:t>
      </w:r>
    </w:p>
    <w:p w:rsidR="002014B6" w:rsidRDefault="002014B6">
      <w:pPr>
        <w:rPr>
          <w:szCs w:val="22"/>
        </w:rPr>
      </w:pPr>
      <w:r>
        <w:rPr>
          <w:szCs w:val="22"/>
        </w:rPr>
        <w:br w:type="page"/>
      </w:r>
    </w:p>
    <w:p w:rsidR="003E333A" w:rsidRPr="00DE679E" w:rsidRDefault="003E333A" w:rsidP="003E333A">
      <w:pPr>
        <w:autoSpaceDE w:val="0"/>
        <w:autoSpaceDN w:val="0"/>
        <w:adjustRightInd w:val="0"/>
        <w:rPr>
          <w:szCs w:val="22"/>
        </w:rPr>
      </w:pPr>
      <w:r w:rsidRPr="00DE679E">
        <w:rPr>
          <w:szCs w:val="22"/>
        </w:rPr>
        <w:lastRenderedPageBreak/>
        <w:t>Achievements for 2015-16 include:</w:t>
      </w:r>
    </w:p>
    <w:p w:rsidR="003E333A" w:rsidRPr="00DE679E" w:rsidRDefault="003E333A" w:rsidP="00207679">
      <w:pPr>
        <w:pStyle w:val="BodyText"/>
        <w:widowControl w:val="0"/>
        <w:numPr>
          <w:ilvl w:val="0"/>
          <w:numId w:val="19"/>
        </w:numPr>
        <w:spacing w:before="60" w:after="60" w:line="251" w:lineRule="exact"/>
        <w:ind w:left="473" w:hanging="360"/>
        <w:rPr>
          <w:szCs w:val="22"/>
        </w:rPr>
      </w:pPr>
      <w:r w:rsidRPr="00264F81">
        <w:t>full</w:t>
      </w:r>
      <w:r w:rsidRPr="00DE679E">
        <w:rPr>
          <w:szCs w:val="22"/>
        </w:rPr>
        <w:t xml:space="preserve"> </w:t>
      </w:r>
      <w:r w:rsidRPr="00207679">
        <w:t>delivery</w:t>
      </w:r>
      <w:r w:rsidRPr="00DE679E">
        <w:rPr>
          <w:szCs w:val="22"/>
        </w:rPr>
        <w:t xml:space="preserve"> of the approved portfolio </w:t>
      </w:r>
      <w:r w:rsidRPr="00DE679E">
        <w:rPr>
          <w:i/>
          <w:szCs w:val="22"/>
        </w:rPr>
        <w:t>Annual Internal Audit Plan 2015-2016</w:t>
      </w:r>
      <w:r w:rsidRPr="00DE679E">
        <w:rPr>
          <w:szCs w:val="22"/>
        </w:rPr>
        <w:t xml:space="preserve"> through a combination of in-house and co-sourced delivery. Specific Office of the IGEM coverage included the Emergency Management Assurance Framework review  </w:t>
      </w:r>
    </w:p>
    <w:p w:rsidR="003E333A" w:rsidRPr="00DE679E" w:rsidRDefault="003E333A" w:rsidP="00207679">
      <w:pPr>
        <w:pStyle w:val="BodyText"/>
        <w:widowControl w:val="0"/>
        <w:numPr>
          <w:ilvl w:val="0"/>
          <w:numId w:val="19"/>
        </w:numPr>
        <w:spacing w:before="60" w:after="60" w:line="251" w:lineRule="exact"/>
        <w:ind w:left="473" w:hanging="360"/>
        <w:rPr>
          <w:szCs w:val="22"/>
        </w:rPr>
      </w:pPr>
      <w:r w:rsidRPr="007B5CCA">
        <w:rPr>
          <w:bCs/>
        </w:rPr>
        <w:t>coverage</w:t>
      </w:r>
      <w:r w:rsidRPr="00DE679E">
        <w:rPr>
          <w:szCs w:val="22"/>
        </w:rPr>
        <w:t xml:space="preserve"> also included the following </w:t>
      </w:r>
      <w:r w:rsidR="005A49CB" w:rsidRPr="001C4C03">
        <w:rPr>
          <w:szCs w:val="22"/>
        </w:rPr>
        <w:t>ICT</w:t>
      </w:r>
      <w:r w:rsidRPr="00DE679E">
        <w:rPr>
          <w:szCs w:val="22"/>
        </w:rPr>
        <w:t xml:space="preserve"> and PSBA corporate activities that had an impact on Office of the IGEM operations:</w:t>
      </w:r>
    </w:p>
    <w:p w:rsidR="003E333A" w:rsidRPr="00DE679E" w:rsidRDefault="003E333A" w:rsidP="007B5CCA">
      <w:pPr>
        <w:widowControl w:val="0"/>
        <w:numPr>
          <w:ilvl w:val="0"/>
          <w:numId w:val="31"/>
        </w:numPr>
        <w:tabs>
          <w:tab w:val="left" w:pos="833"/>
        </w:tabs>
        <w:spacing w:before="60" w:after="60"/>
        <w:ind w:left="828" w:right="77" w:hanging="357"/>
        <w:rPr>
          <w:szCs w:val="22"/>
        </w:rPr>
      </w:pPr>
      <w:r w:rsidRPr="00DE679E">
        <w:rPr>
          <w:szCs w:val="22"/>
        </w:rPr>
        <w:t xml:space="preserve">portfolio </w:t>
      </w:r>
      <w:r w:rsidRPr="007B5CCA">
        <w:rPr>
          <w:rFonts w:eastAsia="Times New Roman"/>
          <w:lang w:eastAsia="en-AU"/>
        </w:rPr>
        <w:t>information</w:t>
      </w:r>
      <w:r w:rsidRPr="00DE679E">
        <w:rPr>
          <w:szCs w:val="22"/>
        </w:rPr>
        <w:t xml:space="preserve"> management – privacy and security</w:t>
      </w:r>
    </w:p>
    <w:p w:rsidR="003E333A" w:rsidRPr="00DE679E" w:rsidRDefault="003E333A" w:rsidP="007B5CCA">
      <w:pPr>
        <w:widowControl w:val="0"/>
        <w:numPr>
          <w:ilvl w:val="0"/>
          <w:numId w:val="31"/>
        </w:numPr>
        <w:tabs>
          <w:tab w:val="left" w:pos="833"/>
        </w:tabs>
        <w:spacing w:before="60" w:after="60"/>
        <w:ind w:left="828" w:right="77" w:hanging="357"/>
        <w:rPr>
          <w:szCs w:val="22"/>
        </w:rPr>
      </w:pPr>
      <w:r w:rsidRPr="00DE679E">
        <w:rPr>
          <w:szCs w:val="22"/>
        </w:rPr>
        <w:t xml:space="preserve">cloud </w:t>
      </w:r>
      <w:r w:rsidRPr="007B5CCA">
        <w:rPr>
          <w:rFonts w:eastAsia="Times New Roman"/>
          <w:lang w:eastAsia="en-AU"/>
        </w:rPr>
        <w:t>computing</w:t>
      </w:r>
    </w:p>
    <w:p w:rsidR="003E333A" w:rsidRPr="00DE679E" w:rsidRDefault="003E333A" w:rsidP="007B5CCA">
      <w:pPr>
        <w:widowControl w:val="0"/>
        <w:numPr>
          <w:ilvl w:val="0"/>
          <w:numId w:val="31"/>
        </w:numPr>
        <w:tabs>
          <w:tab w:val="left" w:pos="833"/>
        </w:tabs>
        <w:spacing w:before="60" w:after="60"/>
        <w:ind w:left="828" w:right="77" w:hanging="357"/>
        <w:rPr>
          <w:szCs w:val="22"/>
        </w:rPr>
      </w:pPr>
      <w:r w:rsidRPr="007B5CCA">
        <w:rPr>
          <w:rFonts w:eastAsia="Times New Roman"/>
          <w:lang w:eastAsia="en-AU"/>
        </w:rPr>
        <w:t>Internal</w:t>
      </w:r>
      <w:r w:rsidRPr="00DE679E">
        <w:rPr>
          <w:szCs w:val="22"/>
        </w:rPr>
        <w:t xml:space="preserve"> Operating Level Agreements – ICT</w:t>
      </w:r>
    </w:p>
    <w:p w:rsidR="003E333A" w:rsidRPr="00DE679E" w:rsidRDefault="003E333A" w:rsidP="007B5CCA">
      <w:pPr>
        <w:widowControl w:val="0"/>
        <w:numPr>
          <w:ilvl w:val="0"/>
          <w:numId w:val="31"/>
        </w:numPr>
        <w:tabs>
          <w:tab w:val="left" w:pos="833"/>
        </w:tabs>
        <w:spacing w:before="60" w:after="60"/>
        <w:ind w:left="828" w:right="77" w:hanging="357"/>
        <w:rPr>
          <w:szCs w:val="22"/>
        </w:rPr>
      </w:pPr>
      <w:r w:rsidRPr="00DE679E">
        <w:rPr>
          <w:szCs w:val="22"/>
        </w:rPr>
        <w:t>ICT project governance</w:t>
      </w:r>
    </w:p>
    <w:p w:rsidR="003E333A" w:rsidRPr="00DE679E" w:rsidRDefault="003E333A" w:rsidP="007B5CCA">
      <w:pPr>
        <w:pStyle w:val="BodyText"/>
        <w:widowControl w:val="0"/>
        <w:numPr>
          <w:ilvl w:val="0"/>
          <w:numId w:val="19"/>
        </w:numPr>
        <w:spacing w:before="60" w:after="60" w:line="251" w:lineRule="exact"/>
        <w:ind w:left="473" w:hanging="360"/>
        <w:rPr>
          <w:szCs w:val="22"/>
        </w:rPr>
      </w:pPr>
      <w:r w:rsidRPr="00264F81">
        <w:t>no</w:t>
      </w:r>
      <w:r w:rsidRPr="00DE679E">
        <w:rPr>
          <w:szCs w:val="22"/>
        </w:rPr>
        <w:t xml:space="preserve"> carry forward of </w:t>
      </w:r>
      <w:r w:rsidRPr="00207679">
        <w:t>2015</w:t>
      </w:r>
      <w:r w:rsidRPr="00DE679E">
        <w:rPr>
          <w:szCs w:val="22"/>
        </w:rPr>
        <w:t xml:space="preserve">-16 </w:t>
      </w:r>
      <w:r w:rsidRPr="007B5CCA">
        <w:rPr>
          <w:rFonts w:eastAsia="Times New Roman"/>
          <w:lang w:eastAsia="en-AU"/>
        </w:rPr>
        <w:t>audit</w:t>
      </w:r>
      <w:r w:rsidRPr="00DE679E">
        <w:rPr>
          <w:szCs w:val="22"/>
        </w:rPr>
        <w:t xml:space="preserve"> activities</w:t>
      </w:r>
    </w:p>
    <w:p w:rsidR="003E333A" w:rsidRPr="007B5CCA" w:rsidRDefault="003E333A" w:rsidP="007B5CCA">
      <w:pPr>
        <w:pStyle w:val="BodyText"/>
        <w:widowControl w:val="0"/>
        <w:numPr>
          <w:ilvl w:val="0"/>
          <w:numId w:val="19"/>
        </w:numPr>
        <w:spacing w:before="60" w:after="60" w:line="251" w:lineRule="exact"/>
        <w:ind w:left="473" w:hanging="360"/>
        <w:rPr>
          <w:rFonts w:eastAsia="Times New Roman"/>
          <w:lang w:eastAsia="en-AU"/>
        </w:rPr>
      </w:pPr>
      <w:r w:rsidRPr="007B5CCA">
        <w:rPr>
          <w:szCs w:val="22"/>
        </w:rPr>
        <w:t>successful</w:t>
      </w:r>
      <w:r w:rsidRPr="00DE679E">
        <w:rPr>
          <w:szCs w:val="22"/>
        </w:rPr>
        <w:t xml:space="preserve"> </w:t>
      </w:r>
      <w:r w:rsidRPr="00207679">
        <w:t>negotiation</w:t>
      </w:r>
      <w:r w:rsidRPr="00DE679E">
        <w:rPr>
          <w:szCs w:val="22"/>
        </w:rPr>
        <w:t xml:space="preserve"> and m</w:t>
      </w:r>
      <w:r w:rsidRPr="007B5CCA">
        <w:rPr>
          <w:rFonts w:eastAsia="Times New Roman"/>
          <w:lang w:eastAsia="en-AU"/>
        </w:rPr>
        <w:t>anagement of a co-sourced delivery model for provision of Office of the IGEM audit services.</w:t>
      </w:r>
    </w:p>
    <w:p w:rsidR="00426138" w:rsidRPr="000F0BC6" w:rsidRDefault="00426138" w:rsidP="00B81DAB">
      <w:pPr>
        <w:pStyle w:val="Heading3"/>
      </w:pPr>
      <w:bookmarkStart w:id="208" w:name="_Toc441671821"/>
      <w:bookmarkStart w:id="209" w:name="_Toc441672109"/>
      <w:bookmarkStart w:id="210" w:name="_Toc442168896"/>
      <w:r w:rsidRPr="000F0BC6">
        <w:rPr>
          <w:szCs w:val="28"/>
        </w:rPr>
        <w:t>I</w:t>
      </w:r>
      <w:r w:rsidRPr="000F0BC6">
        <w:t>nformation systems and recordkeeping</w:t>
      </w:r>
      <w:bookmarkEnd w:id="208"/>
      <w:bookmarkEnd w:id="209"/>
      <w:bookmarkEnd w:id="210"/>
    </w:p>
    <w:p w:rsidR="00F5772F" w:rsidRPr="000F0BC6" w:rsidRDefault="00F5772F" w:rsidP="00F5772F">
      <w:pPr>
        <w:autoSpaceDE w:val="0"/>
        <w:autoSpaceDN w:val="0"/>
        <w:adjustRightInd w:val="0"/>
        <w:rPr>
          <w:rFonts w:eastAsia="Arial" w:cs="Times New Roman"/>
        </w:rPr>
      </w:pPr>
      <w:r w:rsidRPr="000F0BC6">
        <w:rPr>
          <w:rFonts w:eastAsia="Arial" w:cs="Times New Roman"/>
        </w:rPr>
        <w:t>PSBA, as the provider of strategic and corporate services to Queensland’s public safety</w:t>
      </w:r>
      <w:r w:rsidRPr="000F0BC6">
        <w:rPr>
          <w:rFonts w:eastAsia="Arial" w:cs="Times New Roman"/>
          <w:spacing w:val="-21"/>
        </w:rPr>
        <w:t xml:space="preserve"> </w:t>
      </w:r>
      <w:r w:rsidRPr="000F0BC6">
        <w:rPr>
          <w:rFonts w:eastAsia="Arial" w:cs="Times New Roman"/>
        </w:rPr>
        <w:t xml:space="preserve">portfolio </w:t>
      </w:r>
      <w:r w:rsidRPr="000F0BC6">
        <w:rPr>
          <w:szCs w:val="22"/>
        </w:rPr>
        <w:t>agencies</w:t>
      </w:r>
      <w:r w:rsidRPr="000F0BC6">
        <w:rPr>
          <w:rFonts w:eastAsia="Arial" w:cs="Times New Roman"/>
        </w:rPr>
        <w:t xml:space="preserve"> including the Office of the IGEM, is responsible for recordkeeping and information</w:t>
      </w:r>
      <w:r w:rsidRPr="000F0BC6">
        <w:rPr>
          <w:rFonts w:eastAsia="Arial" w:cs="Times New Roman"/>
          <w:spacing w:val="-30"/>
        </w:rPr>
        <w:t xml:space="preserve"> </w:t>
      </w:r>
      <w:r w:rsidRPr="000F0BC6">
        <w:rPr>
          <w:rFonts w:eastAsia="Arial" w:cs="Times New Roman"/>
        </w:rPr>
        <w:t xml:space="preserve">systems across the portfolio. PSBA has a dedicated records management team which provided advice and assistance to </w:t>
      </w:r>
      <w:r w:rsidR="005A49CB" w:rsidRPr="000F0BC6">
        <w:rPr>
          <w:rFonts w:eastAsia="Arial" w:cs="Times New Roman"/>
        </w:rPr>
        <w:t xml:space="preserve">the Office of the </w:t>
      </w:r>
      <w:r w:rsidRPr="000F0BC6">
        <w:rPr>
          <w:rFonts w:eastAsia="Arial" w:cs="Times New Roman"/>
        </w:rPr>
        <w:t>IGEM during the reporting period resulting</w:t>
      </w:r>
      <w:r w:rsidRPr="000F0BC6">
        <w:rPr>
          <w:rFonts w:eastAsia="Arial" w:cs="Times New Roman"/>
          <w:spacing w:val="-35"/>
        </w:rPr>
        <w:t xml:space="preserve"> </w:t>
      </w:r>
      <w:r w:rsidRPr="000F0BC6">
        <w:rPr>
          <w:rFonts w:eastAsia="Arial" w:cs="Times New Roman"/>
        </w:rPr>
        <w:t>in improved</w:t>
      </w:r>
      <w:r w:rsidRPr="000F0BC6">
        <w:rPr>
          <w:rFonts w:eastAsia="Arial" w:cs="Times New Roman"/>
          <w:spacing w:val="-8"/>
        </w:rPr>
        <w:t xml:space="preserve"> </w:t>
      </w:r>
      <w:r w:rsidRPr="000F0BC6">
        <w:rPr>
          <w:rFonts w:eastAsia="Arial" w:cs="Times New Roman"/>
        </w:rPr>
        <w:t>efficiencies.</w:t>
      </w:r>
    </w:p>
    <w:p w:rsidR="00F5772F" w:rsidRPr="000F0BC6" w:rsidRDefault="005A49CB" w:rsidP="00F5772F">
      <w:pPr>
        <w:autoSpaceDE w:val="0"/>
        <w:autoSpaceDN w:val="0"/>
        <w:adjustRightInd w:val="0"/>
      </w:pPr>
      <w:r w:rsidRPr="000F0BC6">
        <w:rPr>
          <w:szCs w:val="22"/>
        </w:rPr>
        <w:t xml:space="preserve">The Office of the </w:t>
      </w:r>
      <w:r w:rsidR="00F5772F" w:rsidRPr="000F0BC6">
        <w:rPr>
          <w:szCs w:val="22"/>
        </w:rPr>
        <w:t>IGEM</w:t>
      </w:r>
      <w:r w:rsidR="00F5772F" w:rsidRPr="000F0BC6">
        <w:t xml:space="preserve"> continue</w:t>
      </w:r>
      <w:r w:rsidRPr="000F0BC6">
        <w:t>s</w:t>
      </w:r>
      <w:r w:rsidR="00F5772F" w:rsidRPr="000F0BC6">
        <w:t xml:space="preserve"> to use MinCor and Recfind for hard copy files, with all electronic records stored on network drives. </w:t>
      </w:r>
    </w:p>
    <w:p w:rsidR="00F5772F" w:rsidRPr="000F0BC6" w:rsidRDefault="00F5772F" w:rsidP="00F5772F">
      <w:pPr>
        <w:autoSpaceDE w:val="0"/>
        <w:autoSpaceDN w:val="0"/>
        <w:adjustRightInd w:val="0"/>
      </w:pPr>
      <w:r w:rsidRPr="000F0BC6">
        <w:rPr>
          <w:rFonts w:eastAsia="Calibri"/>
        </w:rPr>
        <w:t xml:space="preserve">No </w:t>
      </w:r>
      <w:r w:rsidRPr="000F0BC6">
        <w:rPr>
          <w:szCs w:val="22"/>
        </w:rPr>
        <w:t>records</w:t>
      </w:r>
      <w:r w:rsidRPr="000F0BC6">
        <w:rPr>
          <w:rFonts w:eastAsia="Calibri"/>
        </w:rPr>
        <w:t xml:space="preserve"> were transferred to Queensland State Archives during 2015-16.</w:t>
      </w:r>
    </w:p>
    <w:p w:rsidR="002014B6" w:rsidRDefault="002014B6">
      <w:pPr>
        <w:rPr>
          <w:rFonts w:ascii="Arial Bold" w:eastAsia="Times New Roman" w:hAnsi="Arial Bold"/>
          <w:b/>
          <w:i/>
          <w:color w:val="AB054C"/>
          <w:sz w:val="36"/>
          <w14:ligatures w14:val="standardContextual"/>
        </w:rPr>
      </w:pPr>
      <w:bookmarkStart w:id="211" w:name="_Toc415049807"/>
      <w:bookmarkStart w:id="212" w:name="_Toc415050359"/>
      <w:bookmarkStart w:id="213" w:name="_Toc441671822"/>
      <w:bookmarkStart w:id="214" w:name="_Toc441672110"/>
      <w:bookmarkStart w:id="215" w:name="_Toc442168897"/>
      <w:bookmarkStart w:id="216" w:name="_Toc460406686"/>
      <w:bookmarkStart w:id="217" w:name="_Toc460406836"/>
      <w:bookmarkStart w:id="218" w:name="_Toc460406872"/>
      <w:bookmarkStart w:id="219" w:name="_Toc460406951"/>
      <w:bookmarkStart w:id="220" w:name="_Toc460407065"/>
      <w:r>
        <w:br w:type="page"/>
      </w:r>
    </w:p>
    <w:p w:rsidR="00426138" w:rsidRPr="00341581" w:rsidRDefault="00426138" w:rsidP="00C60996">
      <w:pPr>
        <w:pStyle w:val="Heading2"/>
      </w:pPr>
      <w:bookmarkStart w:id="221" w:name="_Toc460487968"/>
      <w:r w:rsidRPr="000F0BC6">
        <w:lastRenderedPageBreak/>
        <w:t>Human resources</w:t>
      </w:r>
      <w:bookmarkEnd w:id="211"/>
      <w:bookmarkEnd w:id="212"/>
      <w:bookmarkEnd w:id="213"/>
      <w:bookmarkEnd w:id="214"/>
      <w:bookmarkEnd w:id="215"/>
      <w:bookmarkEnd w:id="216"/>
      <w:bookmarkEnd w:id="217"/>
      <w:bookmarkEnd w:id="218"/>
      <w:bookmarkEnd w:id="219"/>
      <w:bookmarkEnd w:id="220"/>
      <w:bookmarkEnd w:id="221"/>
    </w:p>
    <w:p w:rsidR="000657A4" w:rsidRPr="000657A4" w:rsidRDefault="00C316D4" w:rsidP="00264F81">
      <w:pPr>
        <w:spacing w:before="240"/>
        <w:rPr>
          <w:b/>
          <w:sz w:val="28"/>
          <w:szCs w:val="28"/>
        </w:rPr>
      </w:pPr>
      <w:r>
        <w:rPr>
          <w:b/>
          <w:sz w:val="28"/>
          <w:szCs w:val="28"/>
        </w:rPr>
        <w:t xml:space="preserve">Workforce planning </w:t>
      </w:r>
      <w:r w:rsidR="000657A4" w:rsidRPr="000657A4">
        <w:rPr>
          <w:b/>
          <w:sz w:val="28"/>
          <w:szCs w:val="28"/>
        </w:rPr>
        <w:t>and performance</w:t>
      </w:r>
    </w:p>
    <w:p w:rsidR="00264F81" w:rsidRPr="002147D2" w:rsidRDefault="00264F81" w:rsidP="00264F81">
      <w:pPr>
        <w:spacing w:before="240"/>
        <w:rPr>
          <w:b/>
        </w:rPr>
      </w:pPr>
      <w:r w:rsidRPr="002147D2">
        <w:rPr>
          <w:b/>
        </w:rPr>
        <w:t>Workforce profile</w:t>
      </w:r>
    </w:p>
    <w:p w:rsidR="00264F81" w:rsidRPr="002147D2" w:rsidRDefault="00264F81" w:rsidP="00264F81">
      <w:pPr>
        <w:widowControl w:val="0"/>
        <w:rPr>
          <w:rFonts w:eastAsia="Arial"/>
        </w:rPr>
      </w:pPr>
      <w:r w:rsidRPr="007316A3">
        <w:rPr>
          <w:rFonts w:eastAsia="Arial"/>
        </w:rPr>
        <w:t>The total number of full-time equivalent staff for the Office of the IGEM was 21.4 as</w:t>
      </w:r>
      <w:r w:rsidRPr="007316A3">
        <w:rPr>
          <w:rFonts w:eastAsia="Arial"/>
          <w:spacing w:val="-28"/>
        </w:rPr>
        <w:t xml:space="preserve"> </w:t>
      </w:r>
      <w:r w:rsidRPr="007316A3">
        <w:rPr>
          <w:rFonts w:eastAsia="Arial"/>
        </w:rPr>
        <w:t>at 30 June 2016.</w:t>
      </w:r>
      <w:r w:rsidRPr="002147D2">
        <w:rPr>
          <w:rFonts w:eastAsia="Arial"/>
        </w:rPr>
        <w:t xml:space="preserve"> </w:t>
      </w:r>
    </w:p>
    <w:p w:rsidR="00264F81" w:rsidRPr="002147D2" w:rsidRDefault="00264F81" w:rsidP="00264F81">
      <w:pPr>
        <w:widowControl w:val="0"/>
      </w:pPr>
      <w:r w:rsidRPr="00264F81">
        <w:rPr>
          <w:rFonts w:eastAsia="Arial"/>
        </w:rPr>
        <w:t>Between</w:t>
      </w:r>
      <w:r w:rsidRPr="002147D2">
        <w:t xml:space="preserve"> 1 July 2015 and 30 June 2016, the Office of the IGEM had one permanent</w:t>
      </w:r>
      <w:r w:rsidRPr="002147D2">
        <w:rPr>
          <w:spacing w:val="-23"/>
        </w:rPr>
        <w:t xml:space="preserve"> </w:t>
      </w:r>
      <w:r w:rsidRPr="002147D2">
        <w:t>staff member separate.</w:t>
      </w:r>
    </w:p>
    <w:p w:rsidR="00264F81" w:rsidRPr="002147D2" w:rsidRDefault="00264F81" w:rsidP="00264F81">
      <w:pPr>
        <w:spacing w:before="240"/>
        <w:rPr>
          <w:rFonts w:eastAsia="Arial"/>
        </w:rPr>
      </w:pPr>
      <w:r w:rsidRPr="00264F81">
        <w:rPr>
          <w:b/>
        </w:rPr>
        <w:t>Balance</w:t>
      </w:r>
      <w:r w:rsidRPr="002147D2">
        <w:rPr>
          <w:rFonts w:eastAsia="Arial"/>
          <w:b/>
          <w:bCs/>
        </w:rPr>
        <w:t xml:space="preserve"> </w:t>
      </w:r>
    </w:p>
    <w:p w:rsidR="00264F81" w:rsidRPr="002147D2" w:rsidRDefault="00264F81" w:rsidP="00264F81">
      <w:pPr>
        <w:widowControl w:val="0"/>
        <w:rPr>
          <w:rFonts w:eastAsia="Arial"/>
        </w:rPr>
      </w:pPr>
      <w:r w:rsidRPr="002147D2">
        <w:rPr>
          <w:rFonts w:eastAsia="Arial"/>
        </w:rPr>
        <w:t>Balance is a program designed to enhance the skills and knowledge of female leaders in</w:t>
      </w:r>
      <w:r w:rsidRPr="002147D2">
        <w:rPr>
          <w:rFonts w:eastAsia="Arial"/>
          <w:spacing w:val="-35"/>
        </w:rPr>
        <w:t xml:space="preserve"> </w:t>
      </w:r>
      <w:r w:rsidRPr="002147D2">
        <w:rPr>
          <w:rFonts w:eastAsia="Arial"/>
        </w:rPr>
        <w:t>public safety agencies. The program</w:t>
      </w:r>
      <w:r w:rsidRPr="002147D2">
        <w:rPr>
          <w:rFonts w:eastAsia="Arial"/>
          <w:spacing w:val="-15"/>
        </w:rPr>
        <w:t xml:space="preserve"> </w:t>
      </w:r>
      <w:r w:rsidRPr="002147D2">
        <w:rPr>
          <w:rFonts w:eastAsia="Arial"/>
        </w:rPr>
        <w:t>encourages:</w:t>
      </w:r>
    </w:p>
    <w:p w:rsidR="00264F81" w:rsidRPr="002147D2" w:rsidRDefault="00264F81" w:rsidP="00207679">
      <w:pPr>
        <w:pStyle w:val="BodyText"/>
        <w:widowControl w:val="0"/>
        <w:numPr>
          <w:ilvl w:val="0"/>
          <w:numId w:val="19"/>
        </w:numPr>
        <w:spacing w:before="60" w:after="60" w:line="251" w:lineRule="exact"/>
        <w:ind w:left="473" w:hanging="360"/>
        <w:rPr>
          <w:rFonts w:eastAsia="Arial"/>
        </w:rPr>
      </w:pPr>
      <w:r w:rsidRPr="002147D2">
        <w:t>awareness of leadership strengths and how to use them to drive organisational</w:t>
      </w:r>
      <w:r w:rsidRPr="002147D2">
        <w:rPr>
          <w:spacing w:val="-15"/>
        </w:rPr>
        <w:t xml:space="preserve"> </w:t>
      </w:r>
      <w:r w:rsidRPr="002147D2">
        <w:t>performance</w:t>
      </w:r>
    </w:p>
    <w:p w:rsidR="00264F81" w:rsidRPr="002147D2" w:rsidRDefault="005A49CB" w:rsidP="00207679">
      <w:pPr>
        <w:pStyle w:val="BodyText"/>
        <w:widowControl w:val="0"/>
        <w:numPr>
          <w:ilvl w:val="0"/>
          <w:numId w:val="19"/>
        </w:numPr>
        <w:spacing w:before="60" w:after="60" w:line="251" w:lineRule="exact"/>
        <w:ind w:left="473" w:hanging="360"/>
        <w:rPr>
          <w:rFonts w:eastAsia="Arial"/>
        </w:rPr>
      </w:pPr>
      <w:r>
        <w:t xml:space="preserve">the </w:t>
      </w:r>
      <w:r w:rsidR="00264F81" w:rsidRPr="002147D2">
        <w:t>ability to diagnose and negotiate the specific challenges for women in public safety</w:t>
      </w:r>
      <w:r w:rsidR="00264F81" w:rsidRPr="002147D2">
        <w:rPr>
          <w:spacing w:val="-31"/>
        </w:rPr>
        <w:t xml:space="preserve"> </w:t>
      </w:r>
      <w:r w:rsidR="00264F81" w:rsidRPr="002147D2">
        <w:t>leadership roles and to use influence to shape</w:t>
      </w:r>
      <w:r w:rsidR="00264F81" w:rsidRPr="002147D2">
        <w:rPr>
          <w:spacing w:val="-6"/>
        </w:rPr>
        <w:t xml:space="preserve"> </w:t>
      </w:r>
      <w:r w:rsidR="00264F81" w:rsidRPr="002147D2">
        <w:t>solutions</w:t>
      </w:r>
    </w:p>
    <w:p w:rsidR="00264F81" w:rsidRPr="002147D2" w:rsidRDefault="005A49CB" w:rsidP="00207679">
      <w:pPr>
        <w:pStyle w:val="BodyText"/>
        <w:widowControl w:val="0"/>
        <w:numPr>
          <w:ilvl w:val="0"/>
          <w:numId w:val="19"/>
        </w:numPr>
        <w:spacing w:before="60" w:after="60" w:line="251" w:lineRule="exact"/>
        <w:ind w:left="473" w:hanging="360"/>
        <w:rPr>
          <w:rFonts w:eastAsia="Arial"/>
        </w:rPr>
      </w:pPr>
      <w:r>
        <w:t xml:space="preserve">the </w:t>
      </w:r>
      <w:r w:rsidR="00264F81" w:rsidRPr="002147D2">
        <w:t>ability to balance the ways of established organisational culture with other approaches</w:t>
      </w:r>
      <w:r w:rsidR="00264F81" w:rsidRPr="002147D2">
        <w:rPr>
          <w:spacing w:val="-35"/>
        </w:rPr>
        <w:t xml:space="preserve"> </w:t>
      </w:r>
      <w:r w:rsidR="00264F81" w:rsidRPr="002147D2">
        <w:t>required</w:t>
      </w:r>
      <w:r w:rsidR="00264F81" w:rsidRPr="002147D2">
        <w:rPr>
          <w:spacing w:val="-1"/>
        </w:rPr>
        <w:t xml:space="preserve"> </w:t>
      </w:r>
      <w:r w:rsidR="00264F81" w:rsidRPr="002147D2">
        <w:t>to meet</w:t>
      </w:r>
      <w:r w:rsidR="00264F81" w:rsidRPr="002147D2">
        <w:rPr>
          <w:spacing w:val="-3"/>
        </w:rPr>
        <w:t xml:space="preserve"> </w:t>
      </w:r>
      <w:r w:rsidR="00264F81" w:rsidRPr="002147D2">
        <w:t>needs</w:t>
      </w:r>
    </w:p>
    <w:p w:rsidR="00264F81" w:rsidRPr="002147D2" w:rsidRDefault="00264F81" w:rsidP="00207679">
      <w:pPr>
        <w:pStyle w:val="BodyText"/>
        <w:widowControl w:val="0"/>
        <w:numPr>
          <w:ilvl w:val="0"/>
          <w:numId w:val="19"/>
        </w:numPr>
        <w:spacing w:before="60" w:after="60" w:line="251" w:lineRule="exact"/>
        <w:ind w:left="473" w:hanging="360"/>
        <w:rPr>
          <w:rFonts w:eastAsia="Arial"/>
        </w:rPr>
      </w:pPr>
      <w:r w:rsidRPr="002147D2">
        <w:t>increased internal capacity as a female leader and ability to bring others along on that</w:t>
      </w:r>
      <w:r w:rsidRPr="002147D2">
        <w:rPr>
          <w:spacing w:val="-21"/>
        </w:rPr>
        <w:t xml:space="preserve"> </w:t>
      </w:r>
      <w:r w:rsidRPr="002147D2">
        <w:t>journey.</w:t>
      </w:r>
    </w:p>
    <w:p w:rsidR="00264F81" w:rsidRPr="002147D2" w:rsidRDefault="00264F81" w:rsidP="00264F81">
      <w:pPr>
        <w:widowControl w:val="0"/>
        <w:rPr>
          <w:rFonts w:eastAsia="Arial"/>
        </w:rPr>
      </w:pPr>
      <w:r w:rsidRPr="002147D2">
        <w:rPr>
          <w:rFonts w:eastAsia="Arial"/>
        </w:rPr>
        <w:t>Balance is a program developed by the Australian Institute of Police Management (AIPM) and involves two residential workshops linked by three months of workplace</w:t>
      </w:r>
      <w:r w:rsidRPr="002147D2">
        <w:rPr>
          <w:rFonts w:eastAsia="Arial"/>
          <w:spacing w:val="-30"/>
        </w:rPr>
        <w:t xml:space="preserve"> </w:t>
      </w:r>
      <w:r w:rsidRPr="002147D2">
        <w:rPr>
          <w:rFonts w:eastAsia="Arial"/>
        </w:rPr>
        <w:t>development</w:t>
      </w:r>
      <w:r w:rsidRPr="002147D2">
        <w:rPr>
          <w:rFonts w:eastAsia="Arial"/>
          <w:spacing w:val="-1"/>
        </w:rPr>
        <w:t xml:space="preserve"> </w:t>
      </w:r>
      <w:r w:rsidRPr="002147D2">
        <w:rPr>
          <w:rFonts w:eastAsia="Arial"/>
        </w:rPr>
        <w:t>support. The first Queensland-based program – Q-Balance – commenced in June 2015 at the QPS Academy at Oxley. Across</w:t>
      </w:r>
      <w:r w:rsidRPr="002147D2">
        <w:rPr>
          <w:rFonts w:eastAsia="Arial"/>
          <w:spacing w:val="-32"/>
        </w:rPr>
        <w:t xml:space="preserve"> </w:t>
      </w:r>
      <w:r w:rsidRPr="002147D2">
        <w:rPr>
          <w:rFonts w:eastAsia="Arial"/>
        </w:rPr>
        <w:t>the</w:t>
      </w:r>
      <w:r w:rsidRPr="002147D2">
        <w:rPr>
          <w:rFonts w:eastAsia="Arial"/>
          <w:spacing w:val="-1"/>
        </w:rPr>
        <w:t xml:space="preserve"> </w:t>
      </w:r>
      <w:r w:rsidRPr="002147D2">
        <w:rPr>
          <w:rFonts w:eastAsia="Arial"/>
        </w:rPr>
        <w:t>public safety portfolio, women who identified as exercising significant leadership within</w:t>
      </w:r>
      <w:r w:rsidRPr="002147D2">
        <w:rPr>
          <w:rFonts w:eastAsia="Arial"/>
          <w:spacing w:val="-16"/>
        </w:rPr>
        <w:t xml:space="preserve"> </w:t>
      </w:r>
      <w:r w:rsidRPr="002147D2">
        <w:rPr>
          <w:rFonts w:eastAsia="Arial"/>
        </w:rPr>
        <w:t>their organisation were encouraged to submit an expression of interest outlining how the program</w:t>
      </w:r>
      <w:r w:rsidRPr="002147D2">
        <w:rPr>
          <w:rFonts w:eastAsia="Arial"/>
          <w:spacing w:val="-34"/>
        </w:rPr>
        <w:t xml:space="preserve"> </w:t>
      </w:r>
      <w:r w:rsidRPr="002147D2">
        <w:rPr>
          <w:rFonts w:eastAsia="Arial"/>
        </w:rPr>
        <w:t>would be of benefit to them as an individual and to their</w:t>
      </w:r>
      <w:r w:rsidRPr="002147D2">
        <w:rPr>
          <w:rFonts w:eastAsia="Arial"/>
          <w:spacing w:val="-21"/>
        </w:rPr>
        <w:t xml:space="preserve"> </w:t>
      </w:r>
      <w:r w:rsidRPr="002147D2">
        <w:rPr>
          <w:rFonts w:eastAsia="Arial"/>
        </w:rPr>
        <w:t>workplace.</w:t>
      </w:r>
    </w:p>
    <w:p w:rsidR="00264F81" w:rsidRPr="002147D2" w:rsidRDefault="00264F81" w:rsidP="00264F81">
      <w:pPr>
        <w:widowControl w:val="0"/>
        <w:rPr>
          <w:rFonts w:eastAsia="Arial"/>
        </w:rPr>
      </w:pPr>
      <w:r w:rsidRPr="002147D2">
        <w:rPr>
          <w:rFonts w:eastAsia="Arial"/>
        </w:rPr>
        <w:t xml:space="preserve">A large number of applications were received which resulted in 21 successful </w:t>
      </w:r>
      <w:r w:rsidR="005A49CB">
        <w:rPr>
          <w:rFonts w:eastAsia="Arial"/>
        </w:rPr>
        <w:t xml:space="preserve">public safety </w:t>
      </w:r>
      <w:r w:rsidRPr="002147D2">
        <w:rPr>
          <w:rFonts w:eastAsia="Arial"/>
        </w:rPr>
        <w:t>portfolio</w:t>
      </w:r>
      <w:r w:rsidRPr="002147D2">
        <w:rPr>
          <w:rFonts w:eastAsia="Arial"/>
          <w:spacing w:val="-33"/>
        </w:rPr>
        <w:t xml:space="preserve"> </w:t>
      </w:r>
      <w:r w:rsidRPr="002147D2">
        <w:rPr>
          <w:rFonts w:eastAsia="Arial"/>
        </w:rPr>
        <w:t>nominations</w:t>
      </w:r>
      <w:r w:rsidRPr="002147D2">
        <w:rPr>
          <w:rFonts w:eastAsia="Arial"/>
          <w:spacing w:val="-1"/>
        </w:rPr>
        <w:t xml:space="preserve"> </w:t>
      </w:r>
      <w:r w:rsidRPr="002147D2">
        <w:rPr>
          <w:rFonts w:eastAsia="Arial"/>
        </w:rPr>
        <w:t>and an additional six nominations from the Australian Federal Police and the Q</w:t>
      </w:r>
      <w:r w:rsidR="00CF77B7">
        <w:rPr>
          <w:rFonts w:eastAsia="Arial"/>
        </w:rPr>
        <w:t>AS</w:t>
      </w:r>
      <w:r w:rsidRPr="002147D2">
        <w:rPr>
          <w:rFonts w:eastAsia="Arial"/>
        </w:rPr>
        <w:t>. The program was so well supported that additional courses commenced in August 2015 with more planned for 2016.</w:t>
      </w:r>
    </w:p>
    <w:p w:rsidR="00264F81" w:rsidRPr="002147D2" w:rsidRDefault="00264F81" w:rsidP="00264F81">
      <w:pPr>
        <w:widowControl w:val="0"/>
        <w:rPr>
          <w:rFonts w:eastAsia="Arial"/>
        </w:rPr>
      </w:pPr>
      <w:r w:rsidRPr="002147D2">
        <w:rPr>
          <w:rFonts w:eastAsia="Arial"/>
        </w:rPr>
        <w:t>Applications for 2016-17 Balance representatives are being collated</w:t>
      </w:r>
      <w:r w:rsidR="00F24BB9">
        <w:rPr>
          <w:rFonts w:eastAsia="Arial"/>
        </w:rPr>
        <w:t xml:space="preserve">. </w:t>
      </w:r>
    </w:p>
    <w:p w:rsidR="00264F81" w:rsidRPr="00264F81" w:rsidRDefault="00264F81" w:rsidP="00264F81">
      <w:pPr>
        <w:spacing w:before="240"/>
        <w:rPr>
          <w:b/>
        </w:rPr>
      </w:pPr>
      <w:r w:rsidRPr="00264F81">
        <w:rPr>
          <w:b/>
        </w:rPr>
        <w:t xml:space="preserve">Domestic and family violence support package </w:t>
      </w:r>
    </w:p>
    <w:p w:rsidR="00264F81" w:rsidRPr="002147D2" w:rsidRDefault="00264F81" w:rsidP="00264F81">
      <w:pPr>
        <w:widowControl w:val="0"/>
        <w:rPr>
          <w:rFonts w:eastAsia="Times New Roman"/>
        </w:rPr>
      </w:pPr>
      <w:r w:rsidRPr="002147D2">
        <w:rPr>
          <w:rFonts w:eastAsia="Times New Roman"/>
        </w:rPr>
        <w:t>On 25 November 2015, the Public Service Commission released a whole-of-government domestic and family violence support package which details support options available in the workplace including:</w:t>
      </w:r>
    </w:p>
    <w:p w:rsidR="00264F81" w:rsidRPr="002147D2" w:rsidRDefault="00264F81" w:rsidP="00207679">
      <w:pPr>
        <w:pStyle w:val="BodyText"/>
        <w:widowControl w:val="0"/>
        <w:numPr>
          <w:ilvl w:val="0"/>
          <w:numId w:val="19"/>
        </w:numPr>
        <w:spacing w:before="60" w:after="60" w:line="251" w:lineRule="exact"/>
        <w:ind w:left="473" w:hanging="360"/>
        <w:rPr>
          <w:rFonts w:eastAsia="Times New Roman"/>
        </w:rPr>
      </w:pPr>
      <w:r w:rsidRPr="002147D2">
        <w:rPr>
          <w:rFonts w:eastAsia="Times New Roman"/>
        </w:rPr>
        <w:t xml:space="preserve">a </w:t>
      </w:r>
      <w:r w:rsidRPr="00264F81">
        <w:t>minimum</w:t>
      </w:r>
      <w:r w:rsidRPr="002147D2">
        <w:rPr>
          <w:rFonts w:eastAsia="Times New Roman"/>
        </w:rPr>
        <w:t xml:space="preserve"> </w:t>
      </w:r>
      <w:r w:rsidRPr="00207679">
        <w:t>of</w:t>
      </w:r>
      <w:r w:rsidRPr="002147D2">
        <w:rPr>
          <w:rFonts w:eastAsia="Times New Roman"/>
        </w:rPr>
        <w:t xml:space="preserve"> ten days paid special leave</w:t>
      </w:r>
    </w:p>
    <w:p w:rsidR="00264F81" w:rsidRPr="002147D2" w:rsidRDefault="00264F81" w:rsidP="00207679">
      <w:pPr>
        <w:pStyle w:val="BodyText"/>
        <w:widowControl w:val="0"/>
        <w:numPr>
          <w:ilvl w:val="0"/>
          <w:numId w:val="19"/>
        </w:numPr>
        <w:spacing w:before="60" w:after="60" w:line="251" w:lineRule="exact"/>
        <w:ind w:left="473" w:hanging="360"/>
        <w:rPr>
          <w:rFonts w:eastAsia="Times New Roman"/>
        </w:rPr>
      </w:pPr>
      <w:r w:rsidRPr="00264F81">
        <w:t>flexible</w:t>
      </w:r>
      <w:r w:rsidRPr="002147D2">
        <w:rPr>
          <w:rFonts w:eastAsia="Times New Roman"/>
        </w:rPr>
        <w:t xml:space="preserve"> working arrangements</w:t>
      </w:r>
    </w:p>
    <w:p w:rsidR="00264F81" w:rsidRPr="002147D2" w:rsidRDefault="00264F81" w:rsidP="00207679">
      <w:pPr>
        <w:pStyle w:val="BodyText"/>
        <w:widowControl w:val="0"/>
        <w:numPr>
          <w:ilvl w:val="0"/>
          <w:numId w:val="19"/>
        </w:numPr>
        <w:spacing w:before="60" w:after="60" w:line="251" w:lineRule="exact"/>
        <w:ind w:left="473" w:hanging="360"/>
        <w:rPr>
          <w:rFonts w:eastAsia="Times New Roman"/>
        </w:rPr>
      </w:pPr>
      <w:r w:rsidRPr="00264F81">
        <w:t>reasonable</w:t>
      </w:r>
      <w:r w:rsidRPr="002147D2">
        <w:rPr>
          <w:rFonts w:eastAsia="Times New Roman"/>
        </w:rPr>
        <w:t xml:space="preserve"> workplace adjustments</w:t>
      </w:r>
    </w:p>
    <w:p w:rsidR="00264F81" w:rsidRPr="002147D2" w:rsidRDefault="00264F81" w:rsidP="00207679">
      <w:pPr>
        <w:pStyle w:val="BodyText"/>
        <w:widowControl w:val="0"/>
        <w:numPr>
          <w:ilvl w:val="0"/>
          <w:numId w:val="19"/>
        </w:numPr>
        <w:spacing w:before="60" w:after="60" w:line="251" w:lineRule="exact"/>
        <w:ind w:left="473" w:hanging="360"/>
      </w:pPr>
      <w:r w:rsidRPr="00264F81">
        <w:t>counselling</w:t>
      </w:r>
      <w:r w:rsidRPr="002147D2">
        <w:rPr>
          <w:rFonts w:eastAsia="Times New Roman"/>
        </w:rPr>
        <w:t xml:space="preserve"> support services.</w:t>
      </w:r>
    </w:p>
    <w:p w:rsidR="00264F81" w:rsidRPr="002147D2" w:rsidRDefault="00264F81" w:rsidP="00264F81">
      <w:pPr>
        <w:widowControl w:val="0"/>
        <w:rPr>
          <w:rFonts w:eastAsia="Times New Roman"/>
        </w:rPr>
      </w:pPr>
      <w:r w:rsidRPr="002147D2">
        <w:rPr>
          <w:rFonts w:eastAsia="Times New Roman"/>
        </w:rPr>
        <w:t xml:space="preserve">It </w:t>
      </w:r>
      <w:r w:rsidRPr="002335C3">
        <w:rPr>
          <w:rFonts w:eastAsia="Arial"/>
        </w:rPr>
        <w:t>also</w:t>
      </w:r>
      <w:r w:rsidRPr="002147D2">
        <w:rPr>
          <w:rFonts w:eastAsia="Times New Roman"/>
        </w:rPr>
        <w:t xml:space="preserve"> </w:t>
      </w:r>
      <w:r w:rsidRPr="00264F81">
        <w:rPr>
          <w:rFonts w:eastAsia="Arial"/>
        </w:rPr>
        <w:t>outlines</w:t>
      </w:r>
      <w:r w:rsidRPr="002147D2">
        <w:rPr>
          <w:rFonts w:eastAsia="Times New Roman"/>
        </w:rPr>
        <w:t xml:space="preserve"> the roles and responsibilities of managers and employees.</w:t>
      </w:r>
    </w:p>
    <w:p w:rsidR="00264F81" w:rsidRPr="002147D2" w:rsidRDefault="00264F81" w:rsidP="00264F81">
      <w:pPr>
        <w:widowControl w:val="0"/>
        <w:rPr>
          <w:rFonts w:eastAsia="Times New Roman"/>
        </w:rPr>
      </w:pPr>
      <w:r w:rsidRPr="002147D2">
        <w:rPr>
          <w:rFonts w:eastAsia="Times New Roman"/>
        </w:rPr>
        <w:t xml:space="preserve">To support the implementation of this whole-of-government initiative, the PSBA, in conjunction with the Office </w:t>
      </w:r>
      <w:r w:rsidRPr="00264F81">
        <w:rPr>
          <w:rFonts w:eastAsia="Arial"/>
        </w:rPr>
        <w:t>of</w:t>
      </w:r>
      <w:r w:rsidRPr="002147D2">
        <w:rPr>
          <w:rFonts w:eastAsia="Times New Roman"/>
        </w:rPr>
        <w:t xml:space="preserve"> the IGEM, QFES and QPS, developed the </w:t>
      </w:r>
      <w:r w:rsidRPr="005A49CB">
        <w:rPr>
          <w:rFonts w:eastAsia="Times New Roman"/>
          <w:i/>
        </w:rPr>
        <w:t>Supporting Employees Affected by Domestic and Family Violence Policy</w:t>
      </w:r>
      <w:r w:rsidRPr="002147D2">
        <w:rPr>
          <w:rFonts w:eastAsia="Times New Roman"/>
        </w:rPr>
        <w:t>. The policy applies to employees engaged</w:t>
      </w:r>
      <w:r w:rsidR="00D91474">
        <w:rPr>
          <w:rFonts w:eastAsia="Times New Roman"/>
        </w:rPr>
        <w:t xml:space="preserve"> within the public safety portfolio</w:t>
      </w:r>
      <w:r w:rsidRPr="002147D2">
        <w:rPr>
          <w:rFonts w:eastAsia="Times New Roman"/>
        </w:rPr>
        <w:t xml:space="preserve"> and includes a list of various support options available to employees affected by domestic and family violence.</w:t>
      </w:r>
    </w:p>
    <w:p w:rsidR="00794336" w:rsidRDefault="00794336">
      <w:pPr>
        <w:rPr>
          <w:rFonts w:eastAsia="Times New Roman"/>
        </w:rPr>
      </w:pPr>
      <w:r>
        <w:rPr>
          <w:rFonts w:eastAsia="Times New Roman"/>
        </w:rPr>
        <w:br w:type="page"/>
      </w:r>
    </w:p>
    <w:p w:rsidR="00264F81" w:rsidRPr="002147D2" w:rsidRDefault="00264F81" w:rsidP="00264F81">
      <w:pPr>
        <w:widowControl w:val="0"/>
      </w:pPr>
      <w:r w:rsidRPr="000013CA">
        <w:rPr>
          <w:rFonts w:eastAsia="Times New Roman"/>
        </w:rPr>
        <w:lastRenderedPageBreak/>
        <w:t xml:space="preserve">An on-line learning product to improve employees’ awareness of domestic and family violence issues has been developed and will be available for all staff in the </w:t>
      </w:r>
      <w:r w:rsidR="00D91474" w:rsidRPr="000013CA">
        <w:rPr>
          <w:rFonts w:eastAsia="Times New Roman"/>
        </w:rPr>
        <w:t xml:space="preserve">public safety </w:t>
      </w:r>
      <w:r w:rsidRPr="000013CA">
        <w:rPr>
          <w:rFonts w:eastAsia="Times New Roman"/>
        </w:rPr>
        <w:t xml:space="preserve">portfolio in </w:t>
      </w:r>
      <w:r w:rsidR="000013CA" w:rsidRPr="000013CA">
        <w:rPr>
          <w:rFonts w:eastAsia="Times New Roman"/>
        </w:rPr>
        <w:t xml:space="preserve">late </w:t>
      </w:r>
      <w:r w:rsidRPr="000013CA">
        <w:rPr>
          <w:rFonts w:eastAsia="Times New Roman"/>
        </w:rPr>
        <w:t xml:space="preserve">2016. A managers’ face to face training package has also been developed for roll out in </w:t>
      </w:r>
      <w:r w:rsidR="000013CA" w:rsidRPr="000013CA">
        <w:rPr>
          <w:rFonts w:eastAsia="Times New Roman"/>
        </w:rPr>
        <w:t xml:space="preserve">late </w:t>
      </w:r>
      <w:r w:rsidRPr="000013CA">
        <w:rPr>
          <w:rFonts w:eastAsia="Times New Roman"/>
        </w:rPr>
        <w:t xml:space="preserve">2016 for frontline </w:t>
      </w:r>
      <w:r w:rsidRPr="002335C3">
        <w:rPr>
          <w:rFonts w:eastAsia="Arial"/>
        </w:rPr>
        <w:t>leadership</w:t>
      </w:r>
      <w:r w:rsidRPr="000013CA">
        <w:rPr>
          <w:rFonts w:eastAsia="Times New Roman"/>
        </w:rPr>
        <w:t xml:space="preserve"> and middle management levels</w:t>
      </w:r>
      <w:r w:rsidR="00F24BB9" w:rsidRPr="000013CA">
        <w:rPr>
          <w:rFonts w:eastAsia="Times New Roman"/>
        </w:rPr>
        <w:t>.</w:t>
      </w:r>
      <w:r w:rsidR="00F24BB9">
        <w:rPr>
          <w:rFonts w:eastAsia="Times New Roman"/>
        </w:rPr>
        <w:t xml:space="preserve"> </w:t>
      </w:r>
    </w:p>
    <w:p w:rsidR="00264F81" w:rsidRPr="00264F81" w:rsidRDefault="00264F81" w:rsidP="00264F81">
      <w:pPr>
        <w:spacing w:before="240"/>
        <w:rPr>
          <w:b/>
        </w:rPr>
      </w:pPr>
      <w:r w:rsidRPr="00264F81">
        <w:rPr>
          <w:b/>
        </w:rPr>
        <w:t xml:space="preserve">Employee assistance </w:t>
      </w:r>
    </w:p>
    <w:p w:rsidR="00264F81" w:rsidRPr="002147D2" w:rsidRDefault="00264F81" w:rsidP="00264F81">
      <w:pPr>
        <w:widowControl w:val="0"/>
        <w:rPr>
          <w:rFonts w:eastAsia="Arial"/>
        </w:rPr>
      </w:pPr>
      <w:r w:rsidRPr="002147D2">
        <w:rPr>
          <w:rFonts w:eastAsia="Arial"/>
        </w:rPr>
        <w:t>The Employee Assistance Service, managed by PSBA, helps prevent and manage mental</w:t>
      </w:r>
      <w:r w:rsidRPr="002147D2">
        <w:rPr>
          <w:rFonts w:eastAsia="Arial"/>
          <w:spacing w:val="-25"/>
        </w:rPr>
        <w:t xml:space="preserve"> </w:t>
      </w:r>
      <w:r w:rsidRPr="002147D2">
        <w:rPr>
          <w:rFonts w:eastAsia="Arial"/>
        </w:rPr>
        <w:t>health issues for employees across the public safety portfolio by providing advice, counselling and</w:t>
      </w:r>
      <w:r w:rsidRPr="002147D2">
        <w:rPr>
          <w:rFonts w:eastAsia="Arial"/>
          <w:spacing w:val="-30"/>
        </w:rPr>
        <w:t xml:space="preserve"> </w:t>
      </w:r>
      <w:r w:rsidRPr="002147D2">
        <w:rPr>
          <w:rFonts w:eastAsia="Arial"/>
        </w:rPr>
        <w:t>referral to external services for a full range of organisational and personal issues. Specialist officers</w:t>
      </w:r>
      <w:r w:rsidRPr="002147D2">
        <w:rPr>
          <w:rFonts w:eastAsia="Arial"/>
          <w:spacing w:val="-26"/>
        </w:rPr>
        <w:t xml:space="preserve"> </w:t>
      </w:r>
      <w:r w:rsidRPr="002147D2">
        <w:rPr>
          <w:rFonts w:eastAsia="Arial"/>
        </w:rPr>
        <w:t>are available to assist staff and include internal and external psychologists, social workers and</w:t>
      </w:r>
      <w:r w:rsidRPr="002147D2">
        <w:rPr>
          <w:rFonts w:eastAsia="Arial"/>
          <w:spacing w:val="-28"/>
        </w:rPr>
        <w:t xml:space="preserve"> </w:t>
      </w:r>
      <w:r w:rsidRPr="002147D2">
        <w:rPr>
          <w:rFonts w:eastAsia="Arial"/>
        </w:rPr>
        <w:t>trained</w:t>
      </w:r>
      <w:r w:rsidRPr="002147D2">
        <w:rPr>
          <w:rFonts w:eastAsia="Arial"/>
          <w:spacing w:val="-1"/>
        </w:rPr>
        <w:t xml:space="preserve"> </w:t>
      </w:r>
      <w:r w:rsidRPr="002147D2">
        <w:rPr>
          <w:rFonts w:eastAsia="Arial"/>
        </w:rPr>
        <w:t>Peer Support</w:t>
      </w:r>
      <w:r w:rsidRPr="002147D2">
        <w:rPr>
          <w:rFonts w:eastAsia="Arial"/>
          <w:spacing w:val="-6"/>
        </w:rPr>
        <w:t xml:space="preserve"> </w:t>
      </w:r>
      <w:r w:rsidRPr="002147D2">
        <w:rPr>
          <w:rFonts w:eastAsia="Arial"/>
        </w:rPr>
        <w:t>Officers.</w:t>
      </w:r>
    </w:p>
    <w:p w:rsidR="00264F81" w:rsidRPr="00264F81" w:rsidRDefault="00264F81" w:rsidP="00264F81">
      <w:pPr>
        <w:spacing w:before="240"/>
        <w:rPr>
          <w:b/>
        </w:rPr>
      </w:pPr>
      <w:r w:rsidRPr="00264F81">
        <w:rPr>
          <w:b/>
        </w:rPr>
        <w:t>Health and wellbeing</w:t>
      </w:r>
    </w:p>
    <w:p w:rsidR="00264F81" w:rsidRPr="002147D2" w:rsidRDefault="00264F81" w:rsidP="00264F81">
      <w:pPr>
        <w:widowControl w:val="0"/>
        <w:rPr>
          <w:rFonts w:eastAsia="Arial"/>
        </w:rPr>
      </w:pPr>
      <w:r w:rsidRPr="002147D2">
        <w:rPr>
          <w:rFonts w:eastAsia="Arial"/>
        </w:rPr>
        <w:t>The Safety and Wellbeing Branch, within the PSBA Human Resources Division, continued to work</w:t>
      </w:r>
      <w:r w:rsidRPr="002147D2">
        <w:rPr>
          <w:rFonts w:eastAsia="Arial"/>
          <w:spacing w:val="-14"/>
        </w:rPr>
        <w:t xml:space="preserve"> </w:t>
      </w:r>
      <w:r w:rsidRPr="002147D2">
        <w:rPr>
          <w:rFonts w:eastAsia="Arial"/>
        </w:rPr>
        <w:t xml:space="preserve">with management, staff and the unions during the reporting period to improve employee health, fitness and wellbeing. </w:t>
      </w:r>
    </w:p>
    <w:p w:rsidR="00264F81" w:rsidRDefault="00264F81" w:rsidP="00264F81">
      <w:pPr>
        <w:widowControl w:val="0"/>
        <w:rPr>
          <w:rFonts w:eastAsia="Arial"/>
        </w:rPr>
      </w:pPr>
      <w:r w:rsidRPr="002147D2">
        <w:rPr>
          <w:rFonts w:eastAsia="Arial"/>
        </w:rPr>
        <w:t xml:space="preserve">The HealthStart Program is offered to staff of the </w:t>
      </w:r>
      <w:r w:rsidR="00D91474">
        <w:rPr>
          <w:rFonts w:eastAsia="Times New Roman"/>
        </w:rPr>
        <w:t xml:space="preserve">public safety </w:t>
      </w:r>
      <w:r w:rsidRPr="002147D2">
        <w:rPr>
          <w:rFonts w:eastAsia="Arial"/>
        </w:rPr>
        <w:t>portfolio as it moves</w:t>
      </w:r>
      <w:r w:rsidRPr="002147D2">
        <w:rPr>
          <w:rFonts w:eastAsia="Arial"/>
          <w:spacing w:val="-33"/>
        </w:rPr>
        <w:t xml:space="preserve"> </w:t>
      </w:r>
      <w:r w:rsidRPr="002147D2">
        <w:rPr>
          <w:rFonts w:eastAsia="Arial"/>
        </w:rPr>
        <w:t>through each geographical area of Queensland and a number of recreational and fitness activities</w:t>
      </w:r>
      <w:r w:rsidRPr="002147D2">
        <w:rPr>
          <w:rFonts w:eastAsia="Arial"/>
          <w:spacing w:val="-26"/>
        </w:rPr>
        <w:t xml:space="preserve"> </w:t>
      </w:r>
      <w:r w:rsidRPr="002147D2">
        <w:rPr>
          <w:rFonts w:eastAsia="Arial"/>
        </w:rPr>
        <w:t>were provided for employees to participate in as part of Corporate</w:t>
      </w:r>
      <w:r w:rsidRPr="002147D2">
        <w:rPr>
          <w:rFonts w:eastAsia="Arial"/>
          <w:spacing w:val="-26"/>
        </w:rPr>
        <w:t xml:space="preserve"> </w:t>
      </w:r>
      <w:r w:rsidRPr="002147D2">
        <w:rPr>
          <w:rFonts w:eastAsia="Arial"/>
        </w:rPr>
        <w:t>Teams.</w:t>
      </w:r>
    </w:p>
    <w:p w:rsidR="007827F4" w:rsidRPr="00726233" w:rsidRDefault="007827F4" w:rsidP="007827F4">
      <w:pPr>
        <w:pStyle w:val="BodyText"/>
        <w:rPr>
          <w:rFonts w:cstheme="minorBidi"/>
          <w:b/>
        </w:rPr>
      </w:pPr>
      <w:r w:rsidRPr="00726233">
        <w:rPr>
          <w:b/>
        </w:rPr>
        <w:t xml:space="preserve">Human Resource Information Solution  </w:t>
      </w:r>
    </w:p>
    <w:p w:rsidR="000657A4" w:rsidRPr="00726233" w:rsidRDefault="000657A4" w:rsidP="002335C3">
      <w:pPr>
        <w:widowControl w:val="0"/>
      </w:pPr>
      <w:r w:rsidRPr="00726233">
        <w:t xml:space="preserve">The HRIS program will replace the existing payroll systems for Office of the IGEM, PSBA, QFES, QAS within </w:t>
      </w:r>
      <w:r w:rsidR="000420D0" w:rsidRPr="00726233">
        <w:t>Queensland Health</w:t>
      </w:r>
      <w:r w:rsidRPr="00726233">
        <w:t xml:space="preserve"> and Q</w:t>
      </w:r>
      <w:r w:rsidR="00203BDC" w:rsidRPr="00726233">
        <w:t>CS</w:t>
      </w:r>
      <w:r w:rsidRPr="00726233">
        <w:t xml:space="preserve"> within DJAG, with an integrated core human resource, payroll and </w:t>
      </w:r>
      <w:r w:rsidR="00203BDC" w:rsidRPr="00726233">
        <w:t>human capital management (</w:t>
      </w:r>
      <w:r w:rsidRPr="00726233">
        <w:t>HCM</w:t>
      </w:r>
      <w:r w:rsidR="00203BDC" w:rsidRPr="00726233">
        <w:t>)</w:t>
      </w:r>
      <w:r w:rsidRPr="00726233">
        <w:t xml:space="preserve"> solution. The primary benefit of the program will be system continuity that will reduce the risk of human resource and payroll systems failing. The HRIS program outcomes are to achieve operational efficiencies through standardised and automated </w:t>
      </w:r>
      <w:r w:rsidRPr="002335C3">
        <w:rPr>
          <w:rFonts w:eastAsia="Arial"/>
        </w:rPr>
        <w:t>business</w:t>
      </w:r>
      <w:r w:rsidRPr="00726233">
        <w:t xml:space="preserve"> processes and strategic capability to support planning and workforce management.</w:t>
      </w:r>
    </w:p>
    <w:p w:rsidR="000657A4" w:rsidRPr="00726233" w:rsidRDefault="000657A4" w:rsidP="002335C3">
      <w:pPr>
        <w:widowControl w:val="0"/>
      </w:pPr>
      <w:r w:rsidRPr="002335C3">
        <w:rPr>
          <w:rFonts w:eastAsia="Arial"/>
        </w:rPr>
        <w:t>Consultation</w:t>
      </w:r>
      <w:r w:rsidRPr="00726233">
        <w:t xml:space="preserve"> has occurred with the Queensland Government Chief Information Office to confirm assurance reviews and requirements for the program. </w:t>
      </w:r>
    </w:p>
    <w:p w:rsidR="000657A4" w:rsidRPr="00726233" w:rsidRDefault="000657A4" w:rsidP="002335C3">
      <w:pPr>
        <w:widowControl w:val="0"/>
      </w:pPr>
      <w:r w:rsidRPr="00726233">
        <w:t xml:space="preserve">Queensland Shared Services will continue to provide payroll services for the in-scope agencies and will </w:t>
      </w:r>
      <w:r w:rsidRPr="002335C3">
        <w:rPr>
          <w:rFonts w:eastAsia="Arial"/>
        </w:rPr>
        <w:t>migrate</w:t>
      </w:r>
      <w:r w:rsidRPr="00726233">
        <w:t xml:space="preserve"> them from L</w:t>
      </w:r>
      <w:r w:rsidR="000F0BC6" w:rsidRPr="00726233">
        <w:t>ATTICE</w:t>
      </w:r>
      <w:r w:rsidRPr="00726233">
        <w:t xml:space="preserve"> to the Aurion system. Office of the IGEM staff will migrate from L</w:t>
      </w:r>
      <w:r w:rsidR="000F0BC6" w:rsidRPr="00726233">
        <w:t>ATTICE</w:t>
      </w:r>
      <w:r w:rsidRPr="00726233">
        <w:t xml:space="preserve"> to Aurion with the first pay to be run in July 2016. QCS will be the next agency to be transitioned with an estimated completion date of April 2017. </w:t>
      </w:r>
    </w:p>
    <w:p w:rsidR="000657A4" w:rsidRPr="00E5689D" w:rsidRDefault="000657A4" w:rsidP="002335C3">
      <w:pPr>
        <w:widowControl w:val="0"/>
      </w:pPr>
      <w:r w:rsidRPr="00726233">
        <w:t xml:space="preserve">Datacom Group Limited was contracted in January 2016 to provide HCM capability through a </w:t>
      </w:r>
      <w:r w:rsidRPr="002335C3">
        <w:rPr>
          <w:rFonts w:eastAsia="Arial"/>
        </w:rPr>
        <w:t>software</w:t>
      </w:r>
      <w:r w:rsidRPr="00726233">
        <w:t xml:space="preserve">-as-a-service arrangement for </w:t>
      </w:r>
      <w:r w:rsidR="00726233" w:rsidRPr="00726233">
        <w:t xml:space="preserve">the Office of the IGEM and </w:t>
      </w:r>
      <w:r w:rsidRPr="00726233">
        <w:t xml:space="preserve">QFES. The contract includes provisions for the implementation of HCM into QAS and QCS following a successful implementation for </w:t>
      </w:r>
      <w:r w:rsidR="00726233" w:rsidRPr="00726233">
        <w:t xml:space="preserve">the Office of the IGEM and </w:t>
      </w:r>
      <w:r w:rsidRPr="00726233">
        <w:t>QFES.</w:t>
      </w:r>
    </w:p>
    <w:p w:rsidR="007E6734" w:rsidRPr="002147D2" w:rsidRDefault="007E6734" w:rsidP="007E6734">
      <w:pPr>
        <w:widowControl w:val="0"/>
        <w:ind w:right="-22"/>
        <w:rPr>
          <w:rFonts w:eastAsia="Arial"/>
          <w:b/>
          <w:bCs/>
          <w:i/>
        </w:rPr>
      </w:pPr>
      <w:r w:rsidRPr="002147D2">
        <w:rPr>
          <w:rFonts w:eastAsia="Arial"/>
          <w:b/>
          <w:bCs/>
          <w:i/>
        </w:rPr>
        <w:t xml:space="preserve">Working for Queensland Employee Opinion Survey </w:t>
      </w:r>
    </w:p>
    <w:p w:rsidR="007E6734" w:rsidRPr="002147D2" w:rsidRDefault="007E6734" w:rsidP="002335C3">
      <w:pPr>
        <w:widowControl w:val="0"/>
        <w:rPr>
          <w:rFonts w:eastAsia="Arial"/>
        </w:rPr>
      </w:pPr>
      <w:r w:rsidRPr="002147D2">
        <w:rPr>
          <w:rFonts w:eastAsia="Arial"/>
        </w:rPr>
        <w:t xml:space="preserve">The </w:t>
      </w:r>
      <w:r w:rsidRPr="002147D2">
        <w:rPr>
          <w:rFonts w:eastAsia="Arial"/>
          <w:i/>
        </w:rPr>
        <w:t xml:space="preserve">Working for Queensland Employee Opinion Survey </w:t>
      </w:r>
      <w:r w:rsidRPr="002147D2">
        <w:rPr>
          <w:rFonts w:eastAsia="Arial"/>
        </w:rPr>
        <w:t>is the annual, whole-of-government</w:t>
      </w:r>
      <w:r w:rsidRPr="002147D2">
        <w:rPr>
          <w:rFonts w:eastAsia="Arial"/>
          <w:spacing w:val="-36"/>
        </w:rPr>
        <w:t xml:space="preserve"> </w:t>
      </w:r>
      <w:r w:rsidRPr="002147D2">
        <w:rPr>
          <w:rFonts w:eastAsia="Arial"/>
        </w:rPr>
        <w:t>survey</w:t>
      </w:r>
      <w:r w:rsidRPr="002147D2">
        <w:rPr>
          <w:rFonts w:eastAsia="Arial"/>
          <w:spacing w:val="-1"/>
        </w:rPr>
        <w:t xml:space="preserve"> </w:t>
      </w:r>
      <w:r w:rsidRPr="002147D2">
        <w:rPr>
          <w:rFonts w:eastAsia="Arial"/>
        </w:rPr>
        <w:t>which measures workplace climate across the Queensland public service. The 2016 survey explored employee perceptions of matters impacting three key outcomes: agency engagement, organisational leadership and innovation, with the aim of identifying better ways of working.</w:t>
      </w:r>
    </w:p>
    <w:p w:rsidR="007E6734" w:rsidRDefault="007E6734" w:rsidP="007E6734">
      <w:pPr>
        <w:widowControl w:val="0"/>
        <w:ind w:right="-22"/>
        <w:rPr>
          <w:rFonts w:eastAsia="Arial"/>
        </w:rPr>
      </w:pPr>
      <w:r w:rsidRPr="002147D2">
        <w:rPr>
          <w:rFonts w:eastAsia="Arial"/>
        </w:rPr>
        <w:t>The results serve as a benchmark which will assist with measuring changes in agency</w:t>
      </w:r>
      <w:r w:rsidRPr="002147D2">
        <w:rPr>
          <w:rFonts w:eastAsia="Arial"/>
          <w:spacing w:val="-33"/>
        </w:rPr>
        <w:t xml:space="preserve"> </w:t>
      </w:r>
      <w:r w:rsidRPr="002147D2">
        <w:rPr>
          <w:rFonts w:eastAsia="Arial"/>
        </w:rPr>
        <w:t>performance and provide a guide to focus organisational improvement efforts.</w:t>
      </w:r>
    </w:p>
    <w:p w:rsidR="00794336" w:rsidRDefault="00794336">
      <w:r>
        <w:br w:type="page"/>
      </w:r>
    </w:p>
    <w:p w:rsidR="00264F81" w:rsidRPr="002147D2" w:rsidRDefault="00264F81" w:rsidP="00264F81">
      <w:pPr>
        <w:widowControl w:val="0"/>
      </w:pPr>
      <w:r w:rsidRPr="002147D2">
        <w:lastRenderedPageBreak/>
        <w:t xml:space="preserve">The 2016 survey was conducted from 18 April to 11 May. The </w:t>
      </w:r>
      <w:r w:rsidR="00794336">
        <w:t>201</w:t>
      </w:r>
      <w:r w:rsidR="00491C30">
        <w:t>5</w:t>
      </w:r>
      <w:r w:rsidR="00794336">
        <w:t xml:space="preserve"> and 201</w:t>
      </w:r>
      <w:r w:rsidR="00491C30">
        <w:t>6</w:t>
      </w:r>
      <w:r w:rsidR="00794336">
        <w:t xml:space="preserve"> </w:t>
      </w:r>
      <w:r w:rsidRPr="002147D2">
        <w:t xml:space="preserve">results for the Office of the IGEM </w:t>
      </w:r>
      <w:r w:rsidR="00677864">
        <w:t>are</w:t>
      </w:r>
      <w:r w:rsidRPr="002147D2">
        <w:t>:</w:t>
      </w:r>
    </w:p>
    <w:tbl>
      <w:tblPr>
        <w:tblW w:w="8308" w:type="dxa"/>
        <w:tblInd w:w="116" w:type="dxa"/>
        <w:tblBorders>
          <w:top w:val="single" w:sz="8" w:space="0" w:color="A6A6A6" w:themeColor="text2" w:themeShade="A6"/>
          <w:left w:val="single" w:sz="8" w:space="0" w:color="A6A6A6" w:themeColor="text2" w:themeShade="A6"/>
          <w:bottom w:val="single" w:sz="8" w:space="0" w:color="A6A6A6" w:themeColor="text2" w:themeShade="A6"/>
          <w:right w:val="single" w:sz="8" w:space="0" w:color="A6A6A6" w:themeColor="text2" w:themeShade="A6"/>
          <w:insideH w:val="single" w:sz="8" w:space="0" w:color="A6A6A6" w:themeColor="text2" w:themeShade="A6"/>
          <w:insideV w:val="single" w:sz="8" w:space="0" w:color="A6A6A6" w:themeColor="text2" w:themeShade="A6"/>
        </w:tblBorders>
        <w:tblLayout w:type="fixed"/>
        <w:tblCellMar>
          <w:left w:w="0" w:type="dxa"/>
          <w:right w:w="0" w:type="dxa"/>
        </w:tblCellMar>
        <w:tblLook w:val="01E0" w:firstRow="1" w:lastRow="1" w:firstColumn="1" w:lastColumn="1" w:noHBand="0" w:noVBand="0"/>
      </w:tblPr>
      <w:tblGrid>
        <w:gridCol w:w="1037"/>
        <w:gridCol w:w="1039"/>
        <w:gridCol w:w="1039"/>
        <w:gridCol w:w="1039"/>
        <w:gridCol w:w="1039"/>
        <w:gridCol w:w="1037"/>
        <w:gridCol w:w="1039"/>
        <w:gridCol w:w="1039"/>
      </w:tblGrid>
      <w:tr w:rsidR="007E6734" w:rsidRPr="002147D2" w:rsidTr="002335C3">
        <w:trPr>
          <w:trHeight w:hRule="exact" w:val="1027"/>
        </w:trPr>
        <w:tc>
          <w:tcPr>
            <w:tcW w:w="2076" w:type="dxa"/>
            <w:gridSpan w:val="2"/>
            <w:shd w:val="clear" w:color="auto" w:fill="AB054C"/>
          </w:tcPr>
          <w:p w:rsidR="007E6734" w:rsidRPr="002147D2" w:rsidRDefault="007E6734" w:rsidP="00D91474">
            <w:pPr>
              <w:widowControl w:val="0"/>
              <w:ind w:right="-22"/>
              <w:jc w:val="center"/>
              <w:rPr>
                <w:rFonts w:eastAsia="Arial"/>
              </w:rPr>
            </w:pPr>
            <w:r w:rsidRPr="002147D2">
              <w:rPr>
                <w:b/>
                <w:color w:val="FFFFFF"/>
              </w:rPr>
              <w:t>Response</w:t>
            </w:r>
            <w:r w:rsidRPr="002147D2">
              <w:rPr>
                <w:b/>
                <w:color w:val="FFFFFF"/>
                <w:spacing w:val="-3"/>
              </w:rPr>
              <w:t xml:space="preserve"> </w:t>
            </w:r>
            <w:r w:rsidRPr="002147D2">
              <w:rPr>
                <w:b/>
                <w:color w:val="FFFFFF"/>
              </w:rPr>
              <w:t>Rate</w:t>
            </w:r>
          </w:p>
        </w:tc>
        <w:tc>
          <w:tcPr>
            <w:tcW w:w="2078" w:type="dxa"/>
            <w:gridSpan w:val="2"/>
            <w:shd w:val="clear" w:color="auto" w:fill="AB054C"/>
          </w:tcPr>
          <w:p w:rsidR="007E6734" w:rsidRPr="002147D2" w:rsidRDefault="007E6734" w:rsidP="00D91474">
            <w:pPr>
              <w:widowControl w:val="0"/>
              <w:ind w:right="-22"/>
              <w:jc w:val="center"/>
              <w:rPr>
                <w:rFonts w:eastAsia="Arial"/>
              </w:rPr>
            </w:pPr>
            <w:r w:rsidRPr="002147D2">
              <w:rPr>
                <w:b/>
                <w:color w:val="FFFFFF"/>
              </w:rPr>
              <w:t>Agency</w:t>
            </w:r>
            <w:r w:rsidRPr="002147D2">
              <w:rPr>
                <w:b/>
                <w:color w:val="FFFFFF"/>
                <w:spacing w:val="-5"/>
              </w:rPr>
              <w:t xml:space="preserve"> </w:t>
            </w:r>
            <w:r w:rsidRPr="002147D2">
              <w:rPr>
                <w:b/>
                <w:color w:val="FFFFFF"/>
              </w:rPr>
              <w:t>engagement</w:t>
            </w:r>
          </w:p>
        </w:tc>
        <w:tc>
          <w:tcPr>
            <w:tcW w:w="2076" w:type="dxa"/>
            <w:gridSpan w:val="2"/>
            <w:shd w:val="clear" w:color="auto" w:fill="AB054C"/>
          </w:tcPr>
          <w:p w:rsidR="007E6734" w:rsidRPr="002147D2" w:rsidRDefault="007E6734" w:rsidP="00D91474">
            <w:pPr>
              <w:widowControl w:val="0"/>
              <w:ind w:right="-22"/>
              <w:jc w:val="center"/>
              <w:rPr>
                <w:rFonts w:eastAsia="Arial"/>
              </w:rPr>
            </w:pPr>
            <w:r w:rsidRPr="002147D2">
              <w:rPr>
                <w:b/>
                <w:color w:val="FFFFFF"/>
              </w:rPr>
              <w:t>Organisational leadership</w:t>
            </w:r>
          </w:p>
        </w:tc>
        <w:tc>
          <w:tcPr>
            <w:tcW w:w="2078" w:type="dxa"/>
            <w:gridSpan w:val="2"/>
            <w:shd w:val="clear" w:color="auto" w:fill="AB054C"/>
          </w:tcPr>
          <w:p w:rsidR="007E6734" w:rsidRPr="002147D2" w:rsidRDefault="007E6734" w:rsidP="00D91474">
            <w:pPr>
              <w:widowControl w:val="0"/>
              <w:ind w:right="-22"/>
              <w:jc w:val="center"/>
              <w:rPr>
                <w:rFonts w:eastAsia="Arial"/>
              </w:rPr>
            </w:pPr>
            <w:r w:rsidRPr="002147D2">
              <w:rPr>
                <w:b/>
                <w:color w:val="FFFFFF"/>
              </w:rPr>
              <w:t>Innovation</w:t>
            </w:r>
          </w:p>
        </w:tc>
      </w:tr>
      <w:tr w:rsidR="00491C30" w:rsidRPr="00491C30" w:rsidTr="00491C30">
        <w:trPr>
          <w:trHeight w:hRule="exact" w:val="987"/>
        </w:trPr>
        <w:tc>
          <w:tcPr>
            <w:tcW w:w="1037" w:type="dxa"/>
            <w:shd w:val="clear" w:color="auto" w:fill="auto"/>
            <w:vAlign w:val="center"/>
          </w:tcPr>
          <w:p w:rsidR="00491C30" w:rsidRPr="00491C30" w:rsidRDefault="00491C30" w:rsidP="00491C30">
            <w:pPr>
              <w:widowControl w:val="0"/>
              <w:ind w:right="-22"/>
              <w:jc w:val="center"/>
              <w:rPr>
                <w:rFonts w:eastAsia="Arial"/>
                <w:b/>
              </w:rPr>
            </w:pPr>
            <w:r w:rsidRPr="00491C30">
              <w:rPr>
                <w:rFonts w:eastAsia="Arial"/>
                <w:b/>
              </w:rPr>
              <w:t>2015</w:t>
            </w:r>
          </w:p>
        </w:tc>
        <w:tc>
          <w:tcPr>
            <w:tcW w:w="1039" w:type="dxa"/>
            <w:shd w:val="clear" w:color="auto" w:fill="FEDADD" w:themeFill="accent5"/>
            <w:vAlign w:val="center"/>
          </w:tcPr>
          <w:p w:rsidR="00491C30" w:rsidRPr="00491C30" w:rsidRDefault="00491C30" w:rsidP="00D91474">
            <w:pPr>
              <w:widowControl w:val="0"/>
              <w:ind w:right="-22"/>
              <w:jc w:val="center"/>
              <w:rPr>
                <w:rFonts w:eastAsia="Arial"/>
                <w:b/>
              </w:rPr>
            </w:pPr>
            <w:r w:rsidRPr="00491C30">
              <w:rPr>
                <w:rFonts w:eastAsia="Arial"/>
                <w:b/>
              </w:rPr>
              <w:t>2016</w:t>
            </w:r>
          </w:p>
        </w:tc>
        <w:tc>
          <w:tcPr>
            <w:tcW w:w="1039" w:type="dxa"/>
            <w:shd w:val="clear" w:color="auto" w:fill="auto"/>
            <w:vAlign w:val="center"/>
          </w:tcPr>
          <w:p w:rsidR="00491C30" w:rsidRPr="00491C30" w:rsidRDefault="00491C30" w:rsidP="00D91474">
            <w:pPr>
              <w:widowControl w:val="0"/>
              <w:ind w:right="-22"/>
              <w:jc w:val="center"/>
              <w:rPr>
                <w:rFonts w:eastAsia="Arial"/>
                <w:b/>
              </w:rPr>
            </w:pPr>
            <w:r w:rsidRPr="00491C30">
              <w:rPr>
                <w:rFonts w:eastAsia="Arial"/>
                <w:b/>
              </w:rPr>
              <w:t>2015</w:t>
            </w:r>
          </w:p>
        </w:tc>
        <w:tc>
          <w:tcPr>
            <w:tcW w:w="1039" w:type="dxa"/>
            <w:shd w:val="clear" w:color="auto" w:fill="FEDADD" w:themeFill="accent5"/>
            <w:vAlign w:val="center"/>
          </w:tcPr>
          <w:p w:rsidR="00491C30" w:rsidRPr="00491C30" w:rsidRDefault="00491C30" w:rsidP="00D91474">
            <w:pPr>
              <w:widowControl w:val="0"/>
              <w:ind w:right="-22"/>
              <w:jc w:val="center"/>
              <w:rPr>
                <w:rFonts w:eastAsia="Arial"/>
                <w:b/>
              </w:rPr>
            </w:pPr>
            <w:r w:rsidRPr="00491C30">
              <w:rPr>
                <w:rFonts w:eastAsia="Arial"/>
                <w:b/>
              </w:rPr>
              <w:t>2016</w:t>
            </w:r>
          </w:p>
        </w:tc>
        <w:tc>
          <w:tcPr>
            <w:tcW w:w="1039" w:type="dxa"/>
            <w:shd w:val="clear" w:color="auto" w:fill="auto"/>
            <w:vAlign w:val="center"/>
          </w:tcPr>
          <w:p w:rsidR="00491C30" w:rsidRPr="00491C30" w:rsidRDefault="00491C30" w:rsidP="00D91474">
            <w:pPr>
              <w:widowControl w:val="0"/>
              <w:ind w:right="-22"/>
              <w:jc w:val="center"/>
              <w:rPr>
                <w:rFonts w:eastAsia="Arial"/>
                <w:b/>
              </w:rPr>
            </w:pPr>
            <w:r w:rsidRPr="00491C30">
              <w:rPr>
                <w:rFonts w:eastAsia="Arial"/>
                <w:b/>
              </w:rPr>
              <w:t>2015</w:t>
            </w:r>
          </w:p>
        </w:tc>
        <w:tc>
          <w:tcPr>
            <w:tcW w:w="1037" w:type="dxa"/>
            <w:shd w:val="clear" w:color="auto" w:fill="FEDADD" w:themeFill="accent5"/>
            <w:vAlign w:val="center"/>
          </w:tcPr>
          <w:p w:rsidR="00491C30" w:rsidRPr="00491C30" w:rsidRDefault="00491C30" w:rsidP="00D91474">
            <w:pPr>
              <w:widowControl w:val="0"/>
              <w:ind w:right="-22"/>
              <w:jc w:val="center"/>
              <w:rPr>
                <w:rFonts w:eastAsia="Arial"/>
                <w:b/>
              </w:rPr>
            </w:pPr>
            <w:r w:rsidRPr="00491C30">
              <w:rPr>
                <w:rFonts w:eastAsia="Arial"/>
                <w:b/>
              </w:rPr>
              <w:t>2016</w:t>
            </w:r>
          </w:p>
        </w:tc>
        <w:tc>
          <w:tcPr>
            <w:tcW w:w="1039" w:type="dxa"/>
            <w:shd w:val="clear" w:color="auto" w:fill="auto"/>
            <w:vAlign w:val="center"/>
          </w:tcPr>
          <w:p w:rsidR="00491C30" w:rsidRPr="00491C30" w:rsidRDefault="00491C30" w:rsidP="00D91474">
            <w:pPr>
              <w:widowControl w:val="0"/>
              <w:ind w:right="-22"/>
              <w:jc w:val="center"/>
              <w:rPr>
                <w:rFonts w:eastAsia="Arial"/>
                <w:b/>
              </w:rPr>
            </w:pPr>
            <w:r w:rsidRPr="00491C30">
              <w:rPr>
                <w:rFonts w:eastAsia="Arial"/>
                <w:b/>
              </w:rPr>
              <w:t>2015</w:t>
            </w:r>
          </w:p>
        </w:tc>
        <w:tc>
          <w:tcPr>
            <w:tcW w:w="1039" w:type="dxa"/>
            <w:shd w:val="clear" w:color="auto" w:fill="FEDADD" w:themeFill="accent5"/>
            <w:vAlign w:val="center"/>
          </w:tcPr>
          <w:p w:rsidR="00491C30" w:rsidRPr="00491C30" w:rsidRDefault="00491C30" w:rsidP="00D91474">
            <w:pPr>
              <w:widowControl w:val="0"/>
              <w:ind w:right="-22"/>
              <w:jc w:val="center"/>
              <w:rPr>
                <w:rFonts w:eastAsia="Arial"/>
                <w:b/>
              </w:rPr>
            </w:pPr>
            <w:r w:rsidRPr="00491C30">
              <w:rPr>
                <w:rFonts w:eastAsia="Arial"/>
                <w:b/>
              </w:rPr>
              <w:t>2016</w:t>
            </w:r>
          </w:p>
        </w:tc>
      </w:tr>
      <w:tr w:rsidR="00491C30" w:rsidRPr="002147D2" w:rsidTr="00491C30">
        <w:trPr>
          <w:trHeight w:hRule="exact" w:val="987"/>
        </w:trPr>
        <w:tc>
          <w:tcPr>
            <w:tcW w:w="1037" w:type="dxa"/>
            <w:shd w:val="clear" w:color="auto" w:fill="auto"/>
            <w:vAlign w:val="center"/>
          </w:tcPr>
          <w:p w:rsidR="00491C30" w:rsidRPr="00491C30" w:rsidRDefault="00491C30" w:rsidP="00D91474">
            <w:pPr>
              <w:widowControl w:val="0"/>
              <w:ind w:right="-22"/>
              <w:jc w:val="center"/>
              <w:rPr>
                <w:rFonts w:eastAsia="Arial"/>
              </w:rPr>
            </w:pPr>
            <w:r w:rsidRPr="00491C30">
              <w:rPr>
                <w:rFonts w:eastAsia="Arial"/>
              </w:rPr>
              <w:t>100%</w:t>
            </w:r>
          </w:p>
        </w:tc>
        <w:tc>
          <w:tcPr>
            <w:tcW w:w="1039" w:type="dxa"/>
            <w:shd w:val="clear" w:color="auto" w:fill="FEDADD" w:themeFill="accent5"/>
            <w:vAlign w:val="center"/>
          </w:tcPr>
          <w:p w:rsidR="00491C30" w:rsidRPr="002147D2" w:rsidRDefault="00491C30" w:rsidP="00D91474">
            <w:pPr>
              <w:widowControl w:val="0"/>
              <w:ind w:right="-22"/>
              <w:jc w:val="center"/>
              <w:rPr>
                <w:rFonts w:eastAsia="Arial"/>
              </w:rPr>
            </w:pPr>
            <w:r w:rsidRPr="002147D2">
              <w:rPr>
                <w:rFonts w:eastAsia="Arial"/>
              </w:rPr>
              <w:t>100%</w:t>
            </w:r>
          </w:p>
        </w:tc>
        <w:tc>
          <w:tcPr>
            <w:tcW w:w="1039" w:type="dxa"/>
            <w:shd w:val="clear" w:color="auto" w:fill="auto"/>
            <w:vAlign w:val="center"/>
          </w:tcPr>
          <w:p w:rsidR="00491C30" w:rsidRPr="002147D2" w:rsidRDefault="00491C30" w:rsidP="00D91474">
            <w:pPr>
              <w:widowControl w:val="0"/>
              <w:ind w:right="-22"/>
              <w:jc w:val="center"/>
              <w:rPr>
                <w:rFonts w:eastAsia="Arial"/>
              </w:rPr>
            </w:pPr>
            <w:r w:rsidRPr="002147D2">
              <w:rPr>
                <w:rFonts w:eastAsia="Arial"/>
              </w:rPr>
              <w:t>71%</w:t>
            </w:r>
          </w:p>
        </w:tc>
        <w:tc>
          <w:tcPr>
            <w:tcW w:w="1039" w:type="dxa"/>
            <w:shd w:val="clear" w:color="auto" w:fill="FEDADD" w:themeFill="accent5"/>
            <w:vAlign w:val="center"/>
          </w:tcPr>
          <w:p w:rsidR="00491C30" w:rsidRPr="002147D2" w:rsidRDefault="00491C30" w:rsidP="00D91474">
            <w:pPr>
              <w:widowControl w:val="0"/>
              <w:ind w:right="-22"/>
              <w:jc w:val="center"/>
              <w:rPr>
                <w:rFonts w:eastAsia="Arial"/>
              </w:rPr>
            </w:pPr>
            <w:r w:rsidRPr="002147D2">
              <w:rPr>
                <w:rFonts w:eastAsia="Arial"/>
              </w:rPr>
              <w:t>63%</w:t>
            </w:r>
          </w:p>
        </w:tc>
        <w:tc>
          <w:tcPr>
            <w:tcW w:w="1039" w:type="dxa"/>
            <w:shd w:val="clear" w:color="auto" w:fill="auto"/>
            <w:vAlign w:val="center"/>
          </w:tcPr>
          <w:p w:rsidR="00491C30" w:rsidRPr="002147D2" w:rsidRDefault="00491C30" w:rsidP="00D91474">
            <w:pPr>
              <w:widowControl w:val="0"/>
              <w:ind w:right="-22"/>
              <w:jc w:val="center"/>
              <w:rPr>
                <w:rFonts w:eastAsia="Arial"/>
              </w:rPr>
            </w:pPr>
            <w:r w:rsidRPr="002147D2">
              <w:rPr>
                <w:rFonts w:eastAsia="Arial"/>
              </w:rPr>
              <w:t>80%</w:t>
            </w:r>
          </w:p>
        </w:tc>
        <w:tc>
          <w:tcPr>
            <w:tcW w:w="1037" w:type="dxa"/>
            <w:shd w:val="clear" w:color="auto" w:fill="FEDADD" w:themeFill="accent5"/>
            <w:vAlign w:val="center"/>
          </w:tcPr>
          <w:p w:rsidR="00491C30" w:rsidRPr="002147D2" w:rsidRDefault="00491C30" w:rsidP="00D91474">
            <w:pPr>
              <w:widowControl w:val="0"/>
              <w:ind w:right="-22"/>
              <w:jc w:val="center"/>
              <w:rPr>
                <w:rFonts w:eastAsia="Arial"/>
              </w:rPr>
            </w:pPr>
            <w:r w:rsidRPr="002147D2">
              <w:rPr>
                <w:rFonts w:eastAsia="Arial"/>
              </w:rPr>
              <w:t>59%</w:t>
            </w:r>
          </w:p>
        </w:tc>
        <w:tc>
          <w:tcPr>
            <w:tcW w:w="1039" w:type="dxa"/>
            <w:shd w:val="clear" w:color="auto" w:fill="auto"/>
            <w:vAlign w:val="center"/>
          </w:tcPr>
          <w:p w:rsidR="00491C30" w:rsidRPr="002147D2" w:rsidRDefault="00491C30" w:rsidP="00D91474">
            <w:pPr>
              <w:widowControl w:val="0"/>
              <w:ind w:right="-22"/>
              <w:jc w:val="center"/>
              <w:rPr>
                <w:rFonts w:eastAsia="Arial"/>
              </w:rPr>
            </w:pPr>
            <w:r w:rsidRPr="002147D2">
              <w:rPr>
                <w:rFonts w:eastAsia="Arial"/>
              </w:rPr>
              <w:t>88%</w:t>
            </w:r>
          </w:p>
        </w:tc>
        <w:tc>
          <w:tcPr>
            <w:tcW w:w="1039" w:type="dxa"/>
            <w:shd w:val="clear" w:color="auto" w:fill="FEDADD" w:themeFill="accent5"/>
            <w:vAlign w:val="center"/>
          </w:tcPr>
          <w:p w:rsidR="00491C30" w:rsidRPr="002147D2" w:rsidRDefault="00491C30" w:rsidP="00D91474">
            <w:pPr>
              <w:widowControl w:val="0"/>
              <w:ind w:right="-22"/>
              <w:jc w:val="center"/>
              <w:rPr>
                <w:rFonts w:eastAsia="Arial"/>
              </w:rPr>
            </w:pPr>
            <w:r w:rsidRPr="002147D2">
              <w:rPr>
                <w:rFonts w:eastAsia="Arial"/>
              </w:rPr>
              <w:t>74%</w:t>
            </w:r>
          </w:p>
        </w:tc>
      </w:tr>
    </w:tbl>
    <w:p w:rsidR="00264F81" w:rsidRPr="002147D2" w:rsidRDefault="00264F81" w:rsidP="00264F81">
      <w:pPr>
        <w:ind w:right="-22"/>
        <w:rPr>
          <w:rFonts w:eastAsia="Arial"/>
          <w:b/>
        </w:rPr>
      </w:pPr>
      <w:r w:rsidRPr="002147D2">
        <w:rPr>
          <w:rFonts w:eastAsia="Arial"/>
          <w:b/>
        </w:rPr>
        <w:t xml:space="preserve">Workplace Behaviours Standard </w:t>
      </w:r>
    </w:p>
    <w:p w:rsidR="00264F81" w:rsidRPr="002147D2" w:rsidRDefault="00264F81" w:rsidP="00264F81">
      <w:pPr>
        <w:widowControl w:val="0"/>
        <w:rPr>
          <w:rFonts w:eastAsia="Arial"/>
        </w:rPr>
      </w:pPr>
      <w:r w:rsidRPr="002147D2">
        <w:rPr>
          <w:rFonts w:eastAsia="Arial"/>
        </w:rPr>
        <w:t xml:space="preserve">The Workplace Behaviours Standard was introduced in March 2016 for employees of </w:t>
      </w:r>
      <w:r w:rsidR="00D91474">
        <w:rPr>
          <w:rFonts w:eastAsia="Arial"/>
        </w:rPr>
        <w:t xml:space="preserve">the </w:t>
      </w:r>
      <w:r w:rsidRPr="002147D2">
        <w:rPr>
          <w:rFonts w:eastAsia="Arial"/>
        </w:rPr>
        <w:t>Office of the IGEM, PSBA and QFES, and includes contractors and volunteers. The standard sets out the agencies’ commitment to provid</w:t>
      </w:r>
      <w:r w:rsidR="00D91474">
        <w:rPr>
          <w:rFonts w:eastAsia="Arial"/>
        </w:rPr>
        <w:t>ing</w:t>
      </w:r>
      <w:r w:rsidRPr="002147D2">
        <w:rPr>
          <w:rFonts w:eastAsia="Arial"/>
        </w:rPr>
        <w:t xml:space="preserve"> a safe and healthy workplace free from negative workplace behaviours </w:t>
      </w:r>
      <w:r w:rsidR="00D91474">
        <w:rPr>
          <w:rFonts w:eastAsia="Arial"/>
        </w:rPr>
        <w:t xml:space="preserve">including </w:t>
      </w:r>
      <w:r w:rsidRPr="002147D2">
        <w:rPr>
          <w:rFonts w:eastAsia="Arial"/>
        </w:rPr>
        <w:t xml:space="preserve">conduct that is either workplace bullying, sexual harassment and unlawful discrimination or a combination of two or more components. </w:t>
      </w:r>
    </w:p>
    <w:p w:rsidR="00264F81" w:rsidRPr="002147D2" w:rsidRDefault="00264F81" w:rsidP="00264F81">
      <w:pPr>
        <w:widowControl w:val="0"/>
        <w:rPr>
          <w:rFonts w:eastAsia="Arial"/>
        </w:rPr>
      </w:pPr>
      <w:r w:rsidRPr="002147D2">
        <w:rPr>
          <w:rFonts w:eastAsia="Arial"/>
        </w:rPr>
        <w:t>PSBA provides a range of informal and formal workplace conflict management options to assist in maintaining a productive and positive workplace.</w:t>
      </w:r>
    </w:p>
    <w:p w:rsidR="00426138" w:rsidRPr="001046DB" w:rsidRDefault="00426138" w:rsidP="00B81DAB">
      <w:pPr>
        <w:pStyle w:val="Heading3"/>
      </w:pPr>
      <w:bookmarkStart w:id="222" w:name="_Toc441671824"/>
      <w:bookmarkStart w:id="223" w:name="_Toc441672112"/>
      <w:bookmarkStart w:id="224" w:name="_Toc442168899"/>
      <w:r w:rsidRPr="009707A7">
        <w:t>Early retirement, redundancy and retrenchment</w:t>
      </w:r>
      <w:bookmarkEnd w:id="222"/>
      <w:bookmarkEnd w:id="223"/>
      <w:bookmarkEnd w:id="224"/>
      <w:r w:rsidRPr="001046DB">
        <w:t xml:space="preserve"> </w:t>
      </w:r>
    </w:p>
    <w:p w:rsidR="00426138" w:rsidRPr="00257643" w:rsidRDefault="00257643" w:rsidP="00257643">
      <w:r>
        <w:t xml:space="preserve">No early retirement, redundancy or retrenchment packages were paid </w:t>
      </w:r>
      <w:r w:rsidR="00D91474">
        <w:t xml:space="preserve">to staff within the Office of the IGEM </w:t>
      </w:r>
      <w:r>
        <w:t>during 2015-16.</w:t>
      </w:r>
    </w:p>
    <w:p w:rsidR="00426138" w:rsidRPr="00341581" w:rsidRDefault="00426138">
      <w:pPr>
        <w:rPr>
          <w:rFonts w:eastAsia="Calibri"/>
          <w:szCs w:val="22"/>
        </w:rPr>
      </w:pPr>
      <w:r w:rsidRPr="00341581">
        <w:rPr>
          <w:rFonts w:eastAsia="Calibri"/>
          <w:szCs w:val="22"/>
        </w:rPr>
        <w:br w:type="page"/>
      </w:r>
    </w:p>
    <w:p w:rsidR="007A4AD3" w:rsidRPr="001F5A45" w:rsidRDefault="00CD630C" w:rsidP="00D77F80">
      <w:pPr>
        <w:pStyle w:val="Heading1"/>
        <w:ind w:left="0" w:right="77"/>
      </w:pPr>
      <w:bookmarkStart w:id="225" w:name="_Toc442339181"/>
      <w:bookmarkStart w:id="226" w:name="_Toc460406687"/>
      <w:bookmarkStart w:id="227" w:name="_Toc460406837"/>
      <w:bookmarkStart w:id="228" w:name="_Toc460406873"/>
      <w:bookmarkStart w:id="229" w:name="_Toc460406952"/>
      <w:bookmarkStart w:id="230" w:name="_Toc460407066"/>
      <w:bookmarkStart w:id="231" w:name="_Toc460487969"/>
      <w:r>
        <w:lastRenderedPageBreak/>
        <w:t>Financial s</w:t>
      </w:r>
      <w:r w:rsidR="007A4AD3" w:rsidRPr="00341581">
        <w:t>tatements</w:t>
      </w:r>
      <w:bookmarkEnd w:id="225"/>
      <w:bookmarkEnd w:id="226"/>
      <w:bookmarkEnd w:id="227"/>
      <w:bookmarkEnd w:id="228"/>
      <w:bookmarkEnd w:id="229"/>
      <w:bookmarkEnd w:id="230"/>
      <w:bookmarkEnd w:id="231"/>
    </w:p>
    <w:p w:rsidR="00024DCD" w:rsidRPr="001046DB" w:rsidRDefault="00A33164" w:rsidP="001046DB">
      <w:r>
        <w:rPr>
          <w:noProof/>
          <w:lang w:val="en-AU" w:eastAsia="en-AU"/>
        </w:rPr>
        <w:drawing>
          <wp:inline distT="0" distB="0" distL="0" distR="0" wp14:anchorId="0D6FB4E3" wp14:editId="117B21DD">
            <wp:extent cx="6070420" cy="7571451"/>
            <wp:effectExtent l="57150" t="57150" r="121285" b="1060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72">
                      <a:lum/>
                      <a:extLst>
                        <a:ext uri="{28A0092B-C50C-407E-A947-70E740481C1C}">
                          <a14:useLocalDpi xmlns:a14="http://schemas.microsoft.com/office/drawing/2010/main" val="0"/>
                        </a:ext>
                      </a:extLst>
                    </a:blip>
                    <a:srcRect l="10837"/>
                    <a:stretch/>
                  </pic:blipFill>
                  <pic:spPr bwMode="auto">
                    <a:xfrm>
                      <a:off x="0" y="0"/>
                      <a:ext cx="6069965" cy="7571105"/>
                    </a:xfrm>
                    <a:prstGeom prst="rect">
                      <a:avLst/>
                    </a:prstGeom>
                    <a:noFill/>
                    <a:ln>
                      <a:solidFill>
                        <a:schemeClr val="accent1">
                          <a:alpha val="20000"/>
                        </a:schemeClr>
                      </a:solidFill>
                    </a:ln>
                    <a:effectLst>
                      <a:outerShdw blurRad="50800" dist="38100" dir="2700000" algn="ctr" rotWithShape="0">
                        <a:srgbClr val="AB054C">
                          <a:alpha val="40000"/>
                        </a:srgbClr>
                      </a:outerShdw>
                    </a:effectLst>
                    <a:extLst>
                      <a:ext uri="{53640926-AAD7-44D8-BBD7-CCE9431645EC}">
                        <a14:shadowObscured xmlns:a14="http://schemas.microsoft.com/office/drawing/2010/main"/>
                      </a:ext>
                    </a:extLst>
                  </pic:spPr>
                </pic:pic>
              </a:graphicData>
            </a:graphic>
          </wp:inline>
        </w:drawing>
      </w:r>
    </w:p>
    <w:p w:rsidR="001046DB" w:rsidRDefault="001046DB" w:rsidP="00F11EFB">
      <w:pPr>
        <w:jc w:val="center"/>
      </w:pPr>
      <w:r>
        <w:br w:type="page"/>
      </w:r>
    </w:p>
    <w:p w:rsidR="0076456D" w:rsidRDefault="001D617A" w:rsidP="0076456D">
      <w:pPr>
        <w:pStyle w:val="Heading1"/>
        <w:ind w:left="0" w:right="77"/>
        <w:rPr>
          <w:noProof/>
        </w:rPr>
      </w:pPr>
      <w:bookmarkStart w:id="232" w:name="_Toc460406688"/>
      <w:bookmarkStart w:id="233" w:name="_Toc460406838"/>
      <w:bookmarkStart w:id="234" w:name="_Toc460406874"/>
      <w:bookmarkStart w:id="235" w:name="_Toc460406953"/>
      <w:bookmarkStart w:id="236" w:name="_Toc460407067"/>
      <w:bookmarkStart w:id="237" w:name="_Toc460487970"/>
      <w:r>
        <w:lastRenderedPageBreak/>
        <w:t xml:space="preserve">Financial </w:t>
      </w:r>
      <w:r w:rsidR="003B61F8">
        <w:t xml:space="preserve">statements </w:t>
      </w:r>
      <w:r>
        <w:t xml:space="preserve">- </w:t>
      </w:r>
      <w:r w:rsidR="000E776F">
        <w:t>T</w:t>
      </w:r>
      <w:r w:rsidR="000E776F" w:rsidRPr="00CF7505">
        <w:t xml:space="preserve">able of </w:t>
      </w:r>
      <w:r w:rsidR="00B34B8E">
        <w:t>c</w:t>
      </w:r>
      <w:r w:rsidR="00426138" w:rsidRPr="00CF7505">
        <w:t>ontents</w:t>
      </w:r>
      <w:bookmarkEnd w:id="232"/>
      <w:bookmarkEnd w:id="233"/>
      <w:bookmarkEnd w:id="234"/>
      <w:bookmarkEnd w:id="235"/>
      <w:bookmarkEnd w:id="236"/>
      <w:bookmarkEnd w:id="237"/>
      <w:r w:rsidR="00426138" w:rsidRPr="00CF7505">
        <w:t xml:space="preserve"> </w:t>
      </w:r>
      <w:r w:rsidR="0076456D">
        <w:fldChar w:fldCharType="begin"/>
      </w:r>
      <w:r w:rsidR="0076456D">
        <w:instrText xml:space="preserve"> TOC \o "1-2" \f \h \z \u </w:instrText>
      </w:r>
      <w:r w:rsidR="0076456D">
        <w:fldChar w:fldCharType="separate"/>
      </w:r>
    </w:p>
    <w:p w:rsidR="0076456D" w:rsidRDefault="003E64D5" w:rsidP="005920B4">
      <w:pPr>
        <w:pStyle w:val="TOC2"/>
        <w:rPr>
          <w:rFonts w:asciiTheme="minorHAnsi" w:eastAsiaTheme="minorEastAsia" w:hAnsiTheme="minorHAnsi" w:cstheme="minorBidi"/>
          <w:kern w:val="0"/>
          <w:szCs w:val="22"/>
          <w:lang w:val="en-AU" w:eastAsia="en-AU"/>
        </w:rPr>
      </w:pPr>
      <w:hyperlink w:anchor="_Toc460407068" w:history="1">
        <w:r w:rsidR="0076456D" w:rsidRPr="009B3705">
          <w:rPr>
            <w:rStyle w:val="Hyperlink"/>
          </w:rPr>
          <w:t>Statement of comprehensive income</w:t>
        </w:r>
        <w:r w:rsidR="0076456D">
          <w:rPr>
            <w:webHidden/>
          </w:rPr>
          <w:tab/>
        </w:r>
        <w:r w:rsidR="0076456D">
          <w:rPr>
            <w:webHidden/>
          </w:rPr>
          <w:fldChar w:fldCharType="begin"/>
        </w:r>
        <w:r w:rsidR="0076456D">
          <w:rPr>
            <w:webHidden/>
          </w:rPr>
          <w:instrText xml:space="preserve"> PAGEREF _Toc460407068 \h </w:instrText>
        </w:r>
        <w:r w:rsidR="0076456D">
          <w:rPr>
            <w:webHidden/>
          </w:rPr>
        </w:r>
        <w:r w:rsidR="0076456D">
          <w:rPr>
            <w:webHidden/>
          </w:rPr>
          <w:fldChar w:fldCharType="separate"/>
        </w:r>
        <w:r>
          <w:rPr>
            <w:webHidden/>
          </w:rPr>
          <w:t>46</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69" w:history="1">
        <w:r w:rsidR="0076456D" w:rsidRPr="009B3705">
          <w:rPr>
            <w:rStyle w:val="Hyperlink"/>
          </w:rPr>
          <w:t>Statement of financial position</w:t>
        </w:r>
        <w:r w:rsidR="0076456D">
          <w:rPr>
            <w:webHidden/>
          </w:rPr>
          <w:tab/>
        </w:r>
        <w:r w:rsidR="0076456D">
          <w:rPr>
            <w:webHidden/>
          </w:rPr>
          <w:fldChar w:fldCharType="begin"/>
        </w:r>
        <w:r w:rsidR="0076456D">
          <w:rPr>
            <w:webHidden/>
          </w:rPr>
          <w:instrText xml:space="preserve"> PAGEREF _Toc460407069 \h </w:instrText>
        </w:r>
        <w:r w:rsidR="0076456D">
          <w:rPr>
            <w:webHidden/>
          </w:rPr>
        </w:r>
        <w:r w:rsidR="0076456D">
          <w:rPr>
            <w:webHidden/>
          </w:rPr>
          <w:fldChar w:fldCharType="separate"/>
        </w:r>
        <w:r>
          <w:rPr>
            <w:webHidden/>
          </w:rPr>
          <w:t>47</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70" w:history="1">
        <w:r w:rsidR="0076456D" w:rsidRPr="009B3705">
          <w:rPr>
            <w:rStyle w:val="Hyperlink"/>
          </w:rPr>
          <w:t>Statement of changes in equity</w:t>
        </w:r>
        <w:r w:rsidR="0076456D">
          <w:rPr>
            <w:webHidden/>
          </w:rPr>
          <w:tab/>
        </w:r>
        <w:r w:rsidR="0076456D">
          <w:rPr>
            <w:webHidden/>
          </w:rPr>
          <w:fldChar w:fldCharType="begin"/>
        </w:r>
        <w:r w:rsidR="0076456D">
          <w:rPr>
            <w:webHidden/>
          </w:rPr>
          <w:instrText xml:space="preserve"> PAGEREF _Toc460407070 \h </w:instrText>
        </w:r>
        <w:r w:rsidR="0076456D">
          <w:rPr>
            <w:webHidden/>
          </w:rPr>
        </w:r>
        <w:r w:rsidR="0076456D">
          <w:rPr>
            <w:webHidden/>
          </w:rPr>
          <w:fldChar w:fldCharType="separate"/>
        </w:r>
        <w:r>
          <w:rPr>
            <w:webHidden/>
          </w:rPr>
          <w:t>48</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71" w:history="1">
        <w:r w:rsidR="0076456D" w:rsidRPr="009B3705">
          <w:rPr>
            <w:rStyle w:val="Hyperlink"/>
          </w:rPr>
          <w:t>Statement of cash flows</w:t>
        </w:r>
        <w:r w:rsidR="0076456D">
          <w:rPr>
            <w:webHidden/>
          </w:rPr>
          <w:tab/>
        </w:r>
        <w:r w:rsidR="0076456D">
          <w:rPr>
            <w:webHidden/>
          </w:rPr>
          <w:fldChar w:fldCharType="begin"/>
        </w:r>
        <w:r w:rsidR="0076456D">
          <w:rPr>
            <w:webHidden/>
          </w:rPr>
          <w:instrText xml:space="preserve"> PAGEREF _Toc460407071 \h </w:instrText>
        </w:r>
        <w:r w:rsidR="0076456D">
          <w:rPr>
            <w:webHidden/>
          </w:rPr>
        </w:r>
        <w:r w:rsidR="0076456D">
          <w:rPr>
            <w:webHidden/>
          </w:rPr>
          <w:fldChar w:fldCharType="separate"/>
        </w:r>
        <w:r>
          <w:rPr>
            <w:webHidden/>
          </w:rPr>
          <w:t>49</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72" w:history="1">
        <w:r w:rsidR="0076456D" w:rsidRPr="009B3705">
          <w:rPr>
            <w:rStyle w:val="Hyperlink"/>
          </w:rPr>
          <w:t>Notes to and forming part of the financial statements 2015-16</w:t>
        </w:r>
        <w:r w:rsidR="0076456D">
          <w:rPr>
            <w:webHidden/>
          </w:rPr>
          <w:tab/>
        </w:r>
        <w:r w:rsidR="0076456D">
          <w:rPr>
            <w:webHidden/>
          </w:rPr>
          <w:fldChar w:fldCharType="begin"/>
        </w:r>
        <w:r w:rsidR="0076456D">
          <w:rPr>
            <w:webHidden/>
          </w:rPr>
          <w:instrText xml:space="preserve"> PAGEREF _Toc460407072 \h </w:instrText>
        </w:r>
        <w:r w:rsidR="0076456D">
          <w:rPr>
            <w:webHidden/>
          </w:rPr>
        </w:r>
        <w:r w:rsidR="0076456D">
          <w:rPr>
            <w:webHidden/>
          </w:rPr>
          <w:fldChar w:fldCharType="separate"/>
        </w:r>
        <w:r>
          <w:rPr>
            <w:webHidden/>
          </w:rPr>
          <w:t>50</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73" w:history="1">
        <w:r w:rsidR="0076456D" w:rsidRPr="009B3705">
          <w:rPr>
            <w:rStyle w:val="Hyperlink"/>
          </w:rPr>
          <w:t>Management Certificate for the year ended 30 June 2016</w:t>
        </w:r>
        <w:r w:rsidR="0076456D">
          <w:rPr>
            <w:webHidden/>
          </w:rPr>
          <w:tab/>
        </w:r>
        <w:r w:rsidR="0076456D">
          <w:rPr>
            <w:webHidden/>
          </w:rPr>
          <w:fldChar w:fldCharType="begin"/>
        </w:r>
        <w:r w:rsidR="0076456D">
          <w:rPr>
            <w:webHidden/>
          </w:rPr>
          <w:instrText xml:space="preserve"> PAGEREF _Toc460407073 \h </w:instrText>
        </w:r>
        <w:r w:rsidR="0076456D">
          <w:rPr>
            <w:webHidden/>
          </w:rPr>
        </w:r>
        <w:r w:rsidR="0076456D">
          <w:rPr>
            <w:webHidden/>
          </w:rPr>
          <w:fldChar w:fldCharType="separate"/>
        </w:r>
        <w:r>
          <w:rPr>
            <w:webHidden/>
          </w:rPr>
          <w:t>60</w:t>
        </w:r>
        <w:r w:rsidR="0076456D">
          <w:rPr>
            <w:webHidden/>
          </w:rPr>
          <w:fldChar w:fldCharType="end"/>
        </w:r>
      </w:hyperlink>
    </w:p>
    <w:p w:rsidR="0076456D" w:rsidRDefault="003E64D5" w:rsidP="005920B4">
      <w:pPr>
        <w:pStyle w:val="TOC2"/>
        <w:rPr>
          <w:rFonts w:asciiTheme="minorHAnsi" w:eastAsiaTheme="minorEastAsia" w:hAnsiTheme="minorHAnsi" w:cstheme="minorBidi"/>
          <w:kern w:val="0"/>
          <w:szCs w:val="22"/>
          <w:lang w:val="en-AU" w:eastAsia="en-AU"/>
        </w:rPr>
      </w:pPr>
      <w:hyperlink w:anchor="_Toc460407074" w:history="1">
        <w:r w:rsidR="0076456D" w:rsidRPr="009B3705">
          <w:rPr>
            <w:rStyle w:val="Hyperlink"/>
          </w:rPr>
          <w:t>Independent Auditor’s Report</w:t>
        </w:r>
        <w:r w:rsidR="0076456D">
          <w:rPr>
            <w:webHidden/>
          </w:rPr>
          <w:tab/>
        </w:r>
        <w:r w:rsidR="0076456D">
          <w:rPr>
            <w:webHidden/>
          </w:rPr>
          <w:fldChar w:fldCharType="begin"/>
        </w:r>
        <w:r w:rsidR="0076456D">
          <w:rPr>
            <w:webHidden/>
          </w:rPr>
          <w:instrText xml:space="preserve"> PAGEREF _Toc460407074 \h </w:instrText>
        </w:r>
        <w:r w:rsidR="0076456D">
          <w:rPr>
            <w:webHidden/>
          </w:rPr>
        </w:r>
        <w:r w:rsidR="0076456D">
          <w:rPr>
            <w:webHidden/>
          </w:rPr>
          <w:fldChar w:fldCharType="separate"/>
        </w:r>
        <w:r>
          <w:rPr>
            <w:webHidden/>
          </w:rPr>
          <w:t>61</w:t>
        </w:r>
        <w:r w:rsidR="0076456D">
          <w:rPr>
            <w:webHidden/>
          </w:rPr>
          <w:fldChar w:fldCharType="end"/>
        </w:r>
      </w:hyperlink>
    </w:p>
    <w:p w:rsidR="00426138" w:rsidRPr="0076456D" w:rsidRDefault="0076456D" w:rsidP="0076456D">
      <w:r>
        <w:fldChar w:fldCharType="end"/>
      </w:r>
    </w:p>
    <w:p w:rsidR="007A4AD3" w:rsidRPr="004D0C71" w:rsidRDefault="00583F71" w:rsidP="00C60996">
      <w:pPr>
        <w:pStyle w:val="Heading2"/>
      </w:pPr>
      <w:bookmarkStart w:id="238" w:name="_Toc446075132"/>
      <w:bookmarkStart w:id="239" w:name="_Toc460406689"/>
      <w:bookmarkStart w:id="240" w:name="_Toc460407068"/>
      <w:bookmarkStart w:id="241" w:name="_Toc460487971"/>
      <w:r w:rsidRPr="004D0C71">
        <w:lastRenderedPageBreak/>
        <w:t xml:space="preserve">Statement of </w:t>
      </w:r>
      <w:r w:rsidR="00024DCD" w:rsidRPr="004D0C71">
        <w:t>comprehensive income</w:t>
      </w:r>
      <w:bookmarkEnd w:id="238"/>
      <w:bookmarkEnd w:id="239"/>
      <w:bookmarkEnd w:id="240"/>
      <w:bookmarkEnd w:id="241"/>
    </w:p>
    <w:p w:rsidR="001046DB" w:rsidRDefault="00024DCD" w:rsidP="001046DB">
      <w:r>
        <w:rPr>
          <w:noProof/>
          <w:lang w:val="en-AU" w:eastAsia="en-AU"/>
        </w:rPr>
        <w:drawing>
          <wp:inline distT="0" distB="0" distL="0" distR="0" wp14:anchorId="3BCED402" wp14:editId="08A81776">
            <wp:extent cx="6391275" cy="7696200"/>
            <wp:effectExtent l="57150" t="57150" r="123825" b="114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l="5265"/>
                    <a:stretch/>
                  </pic:blipFill>
                  <pic:spPr bwMode="auto">
                    <a:xfrm>
                      <a:off x="0" y="0"/>
                      <a:ext cx="6391275" cy="7696200"/>
                    </a:xfrm>
                    <a:prstGeom prst="rect">
                      <a:avLst/>
                    </a:prstGeom>
                    <a:noFill/>
                    <a:ln>
                      <a:solidFill>
                        <a:schemeClr val="accent1">
                          <a:alpha val="20000"/>
                        </a:schemeClr>
                      </a:solidFill>
                    </a:ln>
                    <a:effectLst>
                      <a:outerShdw blurRad="50800" dist="38100" dir="2700000" algn="ctr" rotWithShape="0">
                        <a:srgbClr val="AB054C">
                          <a:alpha val="40000"/>
                        </a:srgbClr>
                      </a:outerShdw>
                    </a:effectLst>
                    <a:extLst>
                      <a:ext uri="{53640926-AAD7-44D8-BBD7-CCE9431645EC}">
                        <a14:shadowObscured xmlns:a14="http://schemas.microsoft.com/office/drawing/2010/main"/>
                      </a:ext>
                    </a:extLst>
                  </pic:spPr>
                </pic:pic>
              </a:graphicData>
            </a:graphic>
          </wp:inline>
        </w:drawing>
      </w:r>
    </w:p>
    <w:p w:rsidR="007A4AD3" w:rsidRPr="00341581" w:rsidRDefault="007A4AD3" w:rsidP="00F11EFB">
      <w:pPr>
        <w:jc w:val="center"/>
        <w:rPr>
          <w:b/>
          <w:i/>
          <w:caps/>
        </w:rPr>
      </w:pPr>
      <w:r w:rsidRPr="00341581">
        <w:br w:type="page"/>
      </w:r>
    </w:p>
    <w:p w:rsidR="001046DB" w:rsidRPr="00024DCD" w:rsidRDefault="00FA7943" w:rsidP="00C60996">
      <w:pPr>
        <w:pStyle w:val="Heading2"/>
      </w:pPr>
      <w:bookmarkStart w:id="242" w:name="_Toc446075133"/>
      <w:bookmarkStart w:id="243" w:name="_Toc460406690"/>
      <w:bookmarkStart w:id="244" w:name="_Toc460407069"/>
      <w:bookmarkStart w:id="245" w:name="_Toc460487972"/>
      <w:r w:rsidRPr="00024DCD">
        <w:lastRenderedPageBreak/>
        <w:t xml:space="preserve">Statement of </w:t>
      </w:r>
      <w:r w:rsidR="00CD630C" w:rsidRPr="00024DCD">
        <w:t>f</w:t>
      </w:r>
      <w:r w:rsidRPr="00024DCD">
        <w:t xml:space="preserve">inancial </w:t>
      </w:r>
      <w:r w:rsidR="00CD630C" w:rsidRPr="00024DCD">
        <w:t>p</w:t>
      </w:r>
      <w:r w:rsidRPr="00024DCD">
        <w:t>osi</w:t>
      </w:r>
      <w:r w:rsidR="007621B8" w:rsidRPr="00024DCD">
        <w:t>tion</w:t>
      </w:r>
      <w:bookmarkEnd w:id="242"/>
      <w:bookmarkEnd w:id="243"/>
      <w:bookmarkEnd w:id="244"/>
      <w:bookmarkEnd w:id="245"/>
    </w:p>
    <w:p w:rsidR="001046DB" w:rsidRDefault="00024DCD" w:rsidP="001046DB">
      <w:r>
        <w:rPr>
          <w:noProof/>
          <w:lang w:val="en-AU" w:eastAsia="en-AU"/>
        </w:rPr>
        <w:drawing>
          <wp:inline distT="0" distB="0" distL="0" distR="0" wp14:anchorId="3398CF54" wp14:editId="08568B9B">
            <wp:extent cx="6390000" cy="7768800"/>
            <wp:effectExtent l="57150" t="57150" r="106680" b="1181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0000" cy="77688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024DCD" w:rsidRPr="00024DCD" w:rsidRDefault="00024DCD" w:rsidP="00C60996">
      <w:pPr>
        <w:pStyle w:val="Heading2"/>
      </w:pPr>
      <w:bookmarkStart w:id="246" w:name="_Toc460406691"/>
      <w:bookmarkStart w:id="247" w:name="_Toc460407070"/>
      <w:bookmarkStart w:id="248" w:name="_Toc460487973"/>
      <w:bookmarkStart w:id="249" w:name="_Toc446075134"/>
      <w:r w:rsidRPr="00024DCD">
        <w:lastRenderedPageBreak/>
        <w:t>Statement of changes in equity</w:t>
      </w:r>
      <w:bookmarkEnd w:id="246"/>
      <w:bookmarkEnd w:id="247"/>
      <w:bookmarkEnd w:id="248"/>
    </w:p>
    <w:p w:rsidR="00024DCD" w:rsidRDefault="00024DCD" w:rsidP="004D0C71">
      <w:pPr>
        <w:rPr>
          <w:rFonts w:ascii="Arial Bold" w:eastAsia="Times New Roman" w:hAnsi="Arial Bold"/>
          <w:b/>
          <w:i/>
          <w:color w:val="AB054C"/>
          <w:sz w:val="36"/>
          <w:highlight w:val="yellow"/>
          <w14:ligatures w14:val="standardContextual"/>
        </w:rPr>
      </w:pPr>
      <w:r>
        <w:rPr>
          <w:noProof/>
          <w:lang w:val="en-AU" w:eastAsia="en-AU"/>
        </w:rPr>
        <w:drawing>
          <wp:inline distT="0" distB="0" distL="0" distR="0" wp14:anchorId="7B3674B9" wp14:editId="7328DEFB">
            <wp:extent cx="6390000" cy="7538400"/>
            <wp:effectExtent l="57150" t="57150" r="106680" b="1200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0000" cy="75384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r>
        <w:rPr>
          <w:highlight w:val="yellow"/>
        </w:rPr>
        <w:br w:type="page"/>
      </w:r>
    </w:p>
    <w:p w:rsidR="00EA37B4" w:rsidRPr="00EA37B4" w:rsidRDefault="00EA37B4" w:rsidP="00C60996">
      <w:pPr>
        <w:pStyle w:val="Heading2"/>
      </w:pPr>
      <w:bookmarkStart w:id="250" w:name="_Toc460406692"/>
      <w:bookmarkStart w:id="251" w:name="_Toc460407071"/>
      <w:bookmarkStart w:id="252" w:name="_Toc460487974"/>
      <w:r w:rsidRPr="00EA37B4">
        <w:lastRenderedPageBreak/>
        <w:t>Statement of cash flows</w:t>
      </w:r>
      <w:bookmarkEnd w:id="250"/>
      <w:bookmarkEnd w:id="251"/>
      <w:bookmarkEnd w:id="252"/>
    </w:p>
    <w:p w:rsidR="00EA37B4" w:rsidRDefault="00EA37B4" w:rsidP="004D0C71">
      <w:pPr>
        <w:rPr>
          <w:highlight w:val="yellow"/>
        </w:rPr>
      </w:pPr>
      <w:r>
        <w:rPr>
          <w:noProof/>
          <w:lang w:val="en-AU" w:eastAsia="en-AU"/>
        </w:rPr>
        <w:drawing>
          <wp:inline distT="0" distB="0" distL="0" distR="0" wp14:anchorId="01FF341B" wp14:editId="367E9918">
            <wp:extent cx="6390000" cy="7574400"/>
            <wp:effectExtent l="57150" t="57150" r="106680" b="1219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0000" cy="75744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EA37B4" w:rsidRDefault="00EA37B4">
      <w:pPr>
        <w:rPr>
          <w:rFonts w:ascii="Arial Bold" w:eastAsia="Times New Roman" w:hAnsi="Arial Bold"/>
          <w:b/>
          <w:i/>
          <w:color w:val="AB054C"/>
          <w:sz w:val="36"/>
          <w:highlight w:val="yellow"/>
          <w14:ligatures w14:val="standardContextual"/>
        </w:rPr>
      </w:pPr>
      <w:r>
        <w:rPr>
          <w:highlight w:val="yellow"/>
        </w:rPr>
        <w:br w:type="page"/>
      </w:r>
    </w:p>
    <w:p w:rsidR="00EA37B4" w:rsidRPr="00EA37B4" w:rsidRDefault="00EA37B4" w:rsidP="00C60996">
      <w:pPr>
        <w:pStyle w:val="Heading2"/>
      </w:pPr>
      <w:bookmarkStart w:id="253" w:name="_Toc460406693"/>
      <w:bookmarkStart w:id="254" w:name="_Toc460407072"/>
      <w:bookmarkStart w:id="255" w:name="_Toc460487975"/>
      <w:r w:rsidRPr="00EA37B4">
        <w:lastRenderedPageBreak/>
        <w:t>Notes to and forming part of the financial statements 2015-16</w:t>
      </w:r>
      <w:bookmarkEnd w:id="253"/>
      <w:bookmarkEnd w:id="254"/>
      <w:bookmarkEnd w:id="255"/>
    </w:p>
    <w:p w:rsidR="00EA37B4" w:rsidRDefault="00EA37B4" w:rsidP="004D0C71">
      <w:pPr>
        <w:rPr>
          <w:highlight w:val="yellow"/>
        </w:rPr>
      </w:pPr>
      <w:r>
        <w:rPr>
          <w:noProof/>
          <w:lang w:val="en-AU" w:eastAsia="en-AU"/>
        </w:rPr>
        <w:drawing>
          <wp:inline distT="0" distB="0" distL="0" distR="0" wp14:anchorId="31C40AC9" wp14:editId="48DE7C10">
            <wp:extent cx="6390000" cy="7689600"/>
            <wp:effectExtent l="57150" t="57150" r="106680" b="1212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r="5680"/>
                    <a:stretch/>
                  </pic:blipFill>
                  <pic:spPr bwMode="auto">
                    <a:xfrm>
                      <a:off x="0" y="0"/>
                      <a:ext cx="6390000" cy="7689600"/>
                    </a:xfrm>
                    <a:prstGeom prst="rect">
                      <a:avLst/>
                    </a:prstGeom>
                    <a:noFill/>
                    <a:ln w="9525" cap="flat" cmpd="sng" algn="ctr">
                      <a:solidFill>
                        <a:srgbClr val="8A002E">
                          <a:alpha val="20000"/>
                        </a:srgbClr>
                      </a:solidFill>
                      <a:prstDash val="solid"/>
                      <a:round/>
                      <a:headEnd type="none" w="med" len="med"/>
                      <a:tailEnd type="none" w="med" len="med"/>
                    </a:ln>
                    <a:effectLst>
                      <a:outerShdw blurRad="50800" dist="38100" dir="2700000" algn="ctr" rotWithShape="0">
                        <a:srgbClr val="AB054C">
                          <a:alpha val="40000"/>
                        </a:srgbClr>
                      </a:outerShdw>
                    </a:effectLst>
                    <a:extLst>
                      <a:ext uri="{53640926-AAD7-44D8-BBD7-CCE9431645EC}">
                        <a14:shadowObscured xmlns:a14="http://schemas.microsoft.com/office/drawing/2010/main"/>
                      </a:ext>
                    </a:extLst>
                  </pic:spPr>
                </pic:pic>
              </a:graphicData>
            </a:graphic>
          </wp:inline>
        </w:drawing>
      </w:r>
    </w:p>
    <w:p w:rsidR="00EA37B4" w:rsidRPr="004D0C71" w:rsidRDefault="00EA37B4" w:rsidP="004D0C71">
      <w:pPr>
        <w:spacing w:line="360" w:lineRule="auto"/>
        <w:rPr>
          <w:rFonts w:ascii="Arial Bold" w:hAnsi="Arial Bold"/>
          <w:i/>
          <w:color w:val="AB054C"/>
          <w:sz w:val="36"/>
          <w:szCs w:val="36"/>
        </w:rPr>
      </w:pPr>
      <w:r w:rsidRPr="004D0C71">
        <w:rPr>
          <w:rFonts w:ascii="Arial Bold" w:hAnsi="Arial Bold"/>
          <w:i/>
          <w:color w:val="AB054C"/>
          <w:sz w:val="36"/>
          <w:szCs w:val="36"/>
        </w:rPr>
        <w:lastRenderedPageBreak/>
        <w:t>Notes to and forming part of the financial statements 2015-16 (cont</w:t>
      </w:r>
      <w:r w:rsidR="004D0C71" w:rsidRPr="004D0C71">
        <w:rPr>
          <w:rFonts w:ascii="Arial Bold" w:hAnsi="Arial Bold"/>
          <w:i/>
          <w:color w:val="AB054C"/>
          <w:sz w:val="36"/>
          <w:szCs w:val="36"/>
        </w:rPr>
        <w:t>’d</w:t>
      </w:r>
      <w:r w:rsidRPr="004D0C71">
        <w:rPr>
          <w:rFonts w:ascii="Arial Bold" w:hAnsi="Arial Bold"/>
          <w:i/>
          <w:color w:val="AB054C"/>
          <w:sz w:val="36"/>
          <w:szCs w:val="36"/>
        </w:rPr>
        <w:t>)</w:t>
      </w:r>
    </w:p>
    <w:p w:rsidR="004D0C71" w:rsidRDefault="00EA37B4" w:rsidP="004D0C71">
      <w:pPr>
        <w:rPr>
          <w:rFonts w:ascii="Arial Bold" w:eastAsia="Times New Roman" w:hAnsi="Arial Bold"/>
          <w:b/>
          <w:i/>
          <w:color w:val="AB054C"/>
          <w:sz w:val="36"/>
          <w:highlight w:val="yellow"/>
          <w14:ligatures w14:val="standardContextual"/>
        </w:rPr>
      </w:pPr>
      <w:r>
        <w:rPr>
          <w:noProof/>
          <w:lang w:val="en-AU" w:eastAsia="en-AU"/>
        </w:rPr>
        <w:drawing>
          <wp:inline distT="0" distB="0" distL="0" distR="0" wp14:anchorId="1A4A50C0" wp14:editId="30088E8C">
            <wp:extent cx="6124575" cy="7332237"/>
            <wp:effectExtent l="57150" t="57150" r="104775" b="1168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7332237"/>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r w:rsidR="004D0C71">
        <w:rPr>
          <w:highlight w:val="yellow"/>
        </w:rPr>
        <w:br w:type="page"/>
      </w:r>
    </w:p>
    <w:p w:rsidR="00EA37B4" w:rsidRPr="004D0C71" w:rsidRDefault="00EA37B4"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(cont</w:t>
      </w:r>
      <w:r w:rsidR="004D0C71" w:rsidRPr="004D0C71">
        <w:rPr>
          <w:rFonts w:ascii="Arial Bold" w:hAnsi="Arial Bold"/>
          <w:b/>
          <w:i/>
          <w:color w:val="AB054C"/>
          <w:sz w:val="36"/>
          <w:szCs w:val="36"/>
        </w:rPr>
        <w:t>’d</w:t>
      </w:r>
      <w:r w:rsidRPr="004D0C71">
        <w:rPr>
          <w:rFonts w:ascii="Arial Bold" w:hAnsi="Arial Bold"/>
          <w:b/>
          <w:i/>
          <w:color w:val="AB054C"/>
          <w:sz w:val="36"/>
          <w:szCs w:val="36"/>
        </w:rPr>
        <w:t>)</w:t>
      </w:r>
    </w:p>
    <w:p w:rsidR="00EA37B4" w:rsidRDefault="00EA37B4" w:rsidP="004D0C71">
      <w:pPr>
        <w:rPr>
          <w:highlight w:val="yellow"/>
        </w:rPr>
      </w:pPr>
      <w:r>
        <w:rPr>
          <w:noProof/>
          <w:lang w:val="en-AU" w:eastAsia="en-AU"/>
        </w:rPr>
        <w:drawing>
          <wp:inline distT="0" distB="0" distL="0" distR="0" wp14:anchorId="53515E8F" wp14:editId="73A57BA6">
            <wp:extent cx="6386295" cy="7439025"/>
            <wp:effectExtent l="57150" t="57150" r="109855" b="1047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6295" cy="7439025"/>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EA37B4" w:rsidRPr="004D0C71" w:rsidRDefault="00EA37B4" w:rsidP="004D0C71">
      <w:pPr>
        <w:spacing w:line="360" w:lineRule="auto"/>
        <w:rPr>
          <w:rFonts w:ascii="Arial Bold" w:hAnsi="Arial Bold"/>
          <w:i/>
          <w:color w:val="AB054C"/>
          <w:sz w:val="36"/>
          <w:szCs w:val="36"/>
        </w:rPr>
      </w:pPr>
      <w:r w:rsidRPr="004D0C71">
        <w:rPr>
          <w:rFonts w:ascii="Arial Bold" w:hAnsi="Arial Bold"/>
          <w:i/>
          <w:color w:val="AB054C"/>
          <w:sz w:val="36"/>
          <w:szCs w:val="36"/>
        </w:rPr>
        <w:lastRenderedPageBreak/>
        <w:t>Notes to and forming part of the financial statements 2015-16 (cont</w:t>
      </w:r>
      <w:r w:rsidR="004D0C71" w:rsidRPr="004D0C71">
        <w:rPr>
          <w:rFonts w:ascii="Arial Bold" w:hAnsi="Arial Bold"/>
          <w:i/>
          <w:color w:val="AB054C"/>
          <w:sz w:val="36"/>
          <w:szCs w:val="36"/>
        </w:rPr>
        <w:t>’d</w:t>
      </w:r>
      <w:r w:rsidRPr="004D0C71">
        <w:rPr>
          <w:rFonts w:ascii="Arial Bold" w:hAnsi="Arial Bold"/>
          <w:i/>
          <w:color w:val="AB054C"/>
          <w:sz w:val="36"/>
          <w:szCs w:val="36"/>
        </w:rPr>
        <w:t>)</w:t>
      </w:r>
    </w:p>
    <w:p w:rsidR="004D0C71" w:rsidRDefault="00EA37B4" w:rsidP="004D0C71">
      <w:pPr>
        <w:rPr>
          <w:rFonts w:ascii="Arial Bold" w:eastAsia="Times New Roman" w:hAnsi="Arial Bold"/>
          <w:b/>
          <w:i/>
          <w:color w:val="AB054C"/>
          <w:sz w:val="36"/>
          <w14:ligatures w14:val="standardContextual"/>
        </w:rPr>
      </w:pPr>
      <w:r>
        <w:rPr>
          <w:noProof/>
          <w:lang w:val="en-AU" w:eastAsia="en-AU"/>
        </w:rPr>
        <w:drawing>
          <wp:inline distT="0" distB="0" distL="0" distR="0" wp14:anchorId="2E857821" wp14:editId="515E6853">
            <wp:extent cx="6080706" cy="7477125"/>
            <wp:effectExtent l="57150" t="57150" r="111125" b="1047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0706" cy="7477125"/>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r w:rsidR="004D0C71">
        <w:br w:type="page"/>
      </w:r>
    </w:p>
    <w:p w:rsidR="00EA37B4" w:rsidRPr="004D0C71" w:rsidRDefault="00EA37B4"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(cont</w:t>
      </w:r>
      <w:r w:rsidR="004D0C71" w:rsidRPr="004D0C71">
        <w:rPr>
          <w:rFonts w:ascii="Arial Bold" w:hAnsi="Arial Bold"/>
          <w:b/>
          <w:i/>
          <w:color w:val="AB054C"/>
          <w:sz w:val="36"/>
          <w:szCs w:val="36"/>
        </w:rPr>
        <w:t>’d</w:t>
      </w:r>
      <w:r w:rsidRPr="004D0C71">
        <w:rPr>
          <w:rFonts w:ascii="Arial Bold" w:hAnsi="Arial Bold"/>
          <w:b/>
          <w:i/>
          <w:color w:val="AB054C"/>
          <w:sz w:val="36"/>
          <w:szCs w:val="36"/>
        </w:rPr>
        <w:t>)</w:t>
      </w:r>
    </w:p>
    <w:p w:rsidR="00EA37B4" w:rsidRDefault="00860E40" w:rsidP="00EA37B4">
      <w:pPr>
        <w:rPr>
          <w:highlight w:val="yellow"/>
        </w:rPr>
      </w:pPr>
      <w:r>
        <w:rPr>
          <w:noProof/>
          <w:lang w:val="en-AU" w:eastAsia="en-AU"/>
        </w:rPr>
        <w:drawing>
          <wp:inline distT="0" distB="0" distL="0" distR="0" wp14:anchorId="2DD505EE" wp14:editId="605143C4">
            <wp:extent cx="6436800" cy="7696800"/>
            <wp:effectExtent l="57150" t="57150" r="116840" b="1143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36800" cy="76968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860E40" w:rsidRPr="004D0C71" w:rsidRDefault="00860E40"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(cont</w:t>
      </w:r>
      <w:r w:rsidR="004D0C71" w:rsidRPr="004D0C71">
        <w:rPr>
          <w:rFonts w:ascii="Arial Bold" w:hAnsi="Arial Bold"/>
          <w:b/>
          <w:i/>
          <w:color w:val="AB054C"/>
          <w:sz w:val="36"/>
          <w:szCs w:val="36"/>
        </w:rPr>
        <w:t>’d</w:t>
      </w:r>
      <w:r w:rsidRPr="004D0C71">
        <w:rPr>
          <w:rFonts w:ascii="Arial Bold" w:hAnsi="Arial Bold"/>
          <w:b/>
          <w:i/>
          <w:color w:val="AB054C"/>
          <w:sz w:val="36"/>
          <w:szCs w:val="36"/>
        </w:rPr>
        <w:t>)</w:t>
      </w:r>
    </w:p>
    <w:p w:rsidR="00EA37B4" w:rsidRDefault="00860E40" w:rsidP="00EA37B4">
      <w:pPr>
        <w:rPr>
          <w:highlight w:val="yellow"/>
        </w:rPr>
      </w:pPr>
      <w:r>
        <w:rPr>
          <w:noProof/>
          <w:lang w:val="en-AU" w:eastAsia="en-AU"/>
        </w:rPr>
        <w:drawing>
          <wp:inline distT="0" distB="0" distL="0" distR="0" wp14:anchorId="28A19AE9" wp14:editId="5AC094EA">
            <wp:extent cx="6390000" cy="7527600"/>
            <wp:effectExtent l="57150" t="57150" r="106680" b="1117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0000" cy="75276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860E40" w:rsidRPr="004D0C71" w:rsidRDefault="00860E40"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(cont</w:t>
      </w:r>
      <w:r w:rsidR="004D0C71" w:rsidRPr="004D0C71">
        <w:rPr>
          <w:rFonts w:ascii="Arial Bold" w:hAnsi="Arial Bold"/>
          <w:b/>
          <w:i/>
          <w:color w:val="AB054C"/>
          <w:sz w:val="36"/>
          <w:szCs w:val="36"/>
        </w:rPr>
        <w:t>’d</w:t>
      </w:r>
      <w:r w:rsidRPr="004D0C71">
        <w:rPr>
          <w:rFonts w:ascii="Arial Bold" w:hAnsi="Arial Bold"/>
          <w:b/>
          <w:i/>
          <w:color w:val="AB054C"/>
          <w:sz w:val="36"/>
          <w:szCs w:val="36"/>
        </w:rPr>
        <w:t>)</w:t>
      </w:r>
    </w:p>
    <w:p w:rsidR="00860E40" w:rsidRDefault="00860E40" w:rsidP="00EA37B4">
      <w:pPr>
        <w:rPr>
          <w:highlight w:val="yellow"/>
        </w:rPr>
      </w:pPr>
      <w:r>
        <w:rPr>
          <w:noProof/>
          <w:lang w:val="en-AU" w:eastAsia="en-AU"/>
        </w:rPr>
        <w:drawing>
          <wp:inline distT="0" distB="0" distL="0" distR="0" wp14:anchorId="291DBEA9" wp14:editId="75281137">
            <wp:extent cx="6400800" cy="7692698"/>
            <wp:effectExtent l="57150" t="57150" r="114300" b="1181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7692698"/>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860E40" w:rsidRPr="004D0C71" w:rsidRDefault="00860E40"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(cont</w:t>
      </w:r>
      <w:r w:rsidR="004D0C71" w:rsidRPr="004D0C71">
        <w:rPr>
          <w:rFonts w:ascii="Arial Bold" w:hAnsi="Arial Bold"/>
          <w:b/>
          <w:i/>
          <w:color w:val="AB054C"/>
          <w:sz w:val="36"/>
          <w:szCs w:val="36"/>
        </w:rPr>
        <w:t>’d</w:t>
      </w:r>
      <w:r w:rsidRPr="004D0C71">
        <w:rPr>
          <w:rFonts w:ascii="Arial Bold" w:hAnsi="Arial Bold"/>
          <w:b/>
          <w:i/>
          <w:color w:val="AB054C"/>
          <w:sz w:val="36"/>
          <w:szCs w:val="36"/>
        </w:rPr>
        <w:t>)</w:t>
      </w:r>
    </w:p>
    <w:p w:rsidR="00860E40" w:rsidRDefault="00860E40">
      <w:pPr>
        <w:rPr>
          <w:highlight w:val="yellow"/>
        </w:rPr>
      </w:pPr>
      <w:r>
        <w:rPr>
          <w:noProof/>
          <w:lang w:val="en-AU" w:eastAsia="en-AU"/>
        </w:rPr>
        <w:drawing>
          <wp:inline distT="0" distB="0" distL="0" distR="0" wp14:anchorId="1D29512F" wp14:editId="551C489F">
            <wp:extent cx="6429375" cy="7694210"/>
            <wp:effectExtent l="57150" t="57150" r="104775" b="1168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29375" cy="769421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860E40" w:rsidRPr="004D0C71" w:rsidRDefault="00860E40" w:rsidP="004D0C71">
      <w:pPr>
        <w:pStyle w:val="Style3"/>
        <w:spacing w:line="360" w:lineRule="auto"/>
        <w:ind w:left="142"/>
        <w:rPr>
          <w:rFonts w:ascii="Arial Bold" w:hAnsi="Arial Bold"/>
          <w:i/>
          <w:color w:val="AB054C"/>
          <w:sz w:val="36"/>
          <w:szCs w:val="36"/>
        </w:rPr>
      </w:pPr>
      <w:r w:rsidRPr="004D0C71">
        <w:rPr>
          <w:rFonts w:ascii="Arial Bold" w:hAnsi="Arial Bold"/>
          <w:i/>
          <w:color w:val="AB054C"/>
          <w:sz w:val="36"/>
          <w:szCs w:val="36"/>
        </w:rPr>
        <w:lastRenderedPageBreak/>
        <w:t>Notes to and forming part of the financial statements 2015-16 (cont</w:t>
      </w:r>
      <w:r w:rsidR="004D0C71" w:rsidRPr="004D0C71">
        <w:rPr>
          <w:rFonts w:ascii="Arial Bold" w:hAnsi="Arial Bold"/>
          <w:i/>
          <w:color w:val="AB054C"/>
          <w:sz w:val="36"/>
          <w:szCs w:val="36"/>
        </w:rPr>
        <w:t>’d</w:t>
      </w:r>
      <w:r w:rsidRPr="004D0C71">
        <w:rPr>
          <w:rFonts w:ascii="Arial Bold" w:hAnsi="Arial Bold"/>
          <w:i/>
          <w:color w:val="AB054C"/>
          <w:sz w:val="36"/>
          <w:szCs w:val="36"/>
        </w:rPr>
        <w:t>)</w:t>
      </w:r>
    </w:p>
    <w:p w:rsidR="00860E40" w:rsidRDefault="00860E40">
      <w:pPr>
        <w:rPr>
          <w:highlight w:val="yellow"/>
        </w:rPr>
      </w:pPr>
      <w:r>
        <w:rPr>
          <w:noProof/>
          <w:lang w:val="en-AU" w:eastAsia="en-AU"/>
        </w:rPr>
        <w:drawing>
          <wp:inline distT="0" distB="0" distL="0" distR="0" wp14:anchorId="391ADFB8" wp14:editId="57055528">
            <wp:extent cx="6391275" cy="7400925"/>
            <wp:effectExtent l="57150" t="57150" r="123825" b="1238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5">
                      <a:extLst>
                        <a:ext uri="{28A0092B-C50C-407E-A947-70E740481C1C}">
                          <a14:useLocalDpi xmlns:a14="http://schemas.microsoft.com/office/drawing/2010/main" val="0"/>
                        </a:ext>
                      </a:extLst>
                    </a:blip>
                    <a:srcRect t="1646"/>
                    <a:stretch/>
                  </pic:blipFill>
                  <pic:spPr bwMode="auto">
                    <a:xfrm>
                      <a:off x="0" y="0"/>
                      <a:ext cx="6391275" cy="7400925"/>
                    </a:xfrm>
                    <a:prstGeom prst="rect">
                      <a:avLst/>
                    </a:prstGeom>
                    <a:noFill/>
                    <a:ln>
                      <a:solidFill>
                        <a:schemeClr val="accent1">
                          <a:alpha val="20000"/>
                        </a:schemeClr>
                      </a:solidFill>
                    </a:ln>
                    <a:effectLst>
                      <a:outerShdw blurRad="50800" dist="38100" dir="2700000" algn="ctr" rotWithShape="0">
                        <a:srgbClr val="AB054C">
                          <a:alpha val="40000"/>
                        </a:srgbClr>
                      </a:outerShdw>
                    </a:effectLst>
                    <a:extLst>
                      <a:ext uri="{53640926-AAD7-44D8-BBD7-CCE9431645EC}">
                        <a14:shadowObscured xmlns:a14="http://schemas.microsoft.com/office/drawing/2010/main"/>
                      </a:ext>
                    </a:extLst>
                  </pic:spPr>
                </pic:pic>
              </a:graphicData>
            </a:graphic>
          </wp:inline>
        </w:drawing>
      </w:r>
    </w:p>
    <w:p w:rsidR="00860E40" w:rsidRPr="004D0C71" w:rsidRDefault="00860E40" w:rsidP="004D0C71">
      <w:pPr>
        <w:spacing w:line="360" w:lineRule="auto"/>
        <w:rPr>
          <w:rFonts w:ascii="Arial Bold" w:hAnsi="Arial Bold"/>
          <w:b/>
          <w:i/>
          <w:color w:val="AB054C"/>
          <w:sz w:val="36"/>
          <w:szCs w:val="36"/>
        </w:rPr>
      </w:pPr>
      <w:r w:rsidRPr="004D0C71">
        <w:rPr>
          <w:rFonts w:ascii="Arial Bold" w:hAnsi="Arial Bold"/>
          <w:b/>
          <w:i/>
          <w:color w:val="AB054C"/>
          <w:sz w:val="36"/>
          <w:szCs w:val="36"/>
        </w:rPr>
        <w:lastRenderedPageBreak/>
        <w:t>Notes to and forming part of the financial statements 2015-16 (con</w:t>
      </w:r>
      <w:r w:rsidR="004D0C71" w:rsidRPr="004D0C71">
        <w:rPr>
          <w:rFonts w:ascii="Arial Bold" w:hAnsi="Arial Bold"/>
          <w:b/>
          <w:i/>
          <w:color w:val="AB054C"/>
          <w:sz w:val="36"/>
          <w:szCs w:val="36"/>
        </w:rPr>
        <w:t>t’d</w:t>
      </w:r>
      <w:r w:rsidRPr="004D0C71">
        <w:rPr>
          <w:rFonts w:ascii="Arial Bold" w:hAnsi="Arial Bold"/>
          <w:b/>
          <w:i/>
          <w:color w:val="AB054C"/>
          <w:sz w:val="36"/>
          <w:szCs w:val="36"/>
        </w:rPr>
        <w:t>)</w:t>
      </w:r>
    </w:p>
    <w:p w:rsidR="00860E40" w:rsidRDefault="00860E40">
      <w:pPr>
        <w:rPr>
          <w:highlight w:val="yellow"/>
        </w:rPr>
      </w:pPr>
      <w:r>
        <w:rPr>
          <w:noProof/>
          <w:lang w:val="en-AU" w:eastAsia="en-AU"/>
        </w:rPr>
        <w:drawing>
          <wp:inline distT="0" distB="0" distL="0" distR="0" wp14:anchorId="02A0CC08" wp14:editId="6DC002FB">
            <wp:extent cx="6419850" cy="7248525"/>
            <wp:effectExtent l="57150" t="57150" r="114300" b="1238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9850" cy="7248525"/>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4D0C71" w:rsidRDefault="004D0C71" w:rsidP="00860E40">
      <w:pPr>
        <w:spacing w:line="360" w:lineRule="auto"/>
        <w:rPr>
          <w:rFonts w:ascii="Arial Bold" w:eastAsia="Times New Roman" w:hAnsi="Arial Bold"/>
          <w:b/>
          <w:i/>
          <w:color w:val="AB054C"/>
          <w:sz w:val="36"/>
          <w14:ligatures w14:val="standardContextual"/>
        </w:rPr>
      </w:pPr>
    </w:p>
    <w:p w:rsidR="00860E40" w:rsidRPr="0076456D" w:rsidRDefault="00860E40" w:rsidP="00C60996">
      <w:pPr>
        <w:pStyle w:val="Heading2"/>
        <w:rPr>
          <w:rStyle w:val="Heading2Char"/>
          <w:b/>
          <w:i/>
        </w:rPr>
      </w:pPr>
      <w:bookmarkStart w:id="256" w:name="_Toc460406694"/>
      <w:bookmarkStart w:id="257" w:name="_Toc460407073"/>
      <w:bookmarkStart w:id="258" w:name="_Toc460487976"/>
      <w:r w:rsidRPr="0076456D">
        <w:lastRenderedPageBreak/>
        <w:t>Ma</w:t>
      </w:r>
      <w:r w:rsidRPr="0076456D">
        <w:rPr>
          <w:rStyle w:val="Heading2Char"/>
          <w:b/>
          <w:i/>
        </w:rPr>
        <w:t>nagement Certificate for the year ended 30 June 2016</w:t>
      </w:r>
      <w:bookmarkEnd w:id="256"/>
      <w:bookmarkEnd w:id="257"/>
      <w:bookmarkEnd w:id="258"/>
    </w:p>
    <w:p w:rsidR="00860E40" w:rsidRDefault="00860E40">
      <w:pPr>
        <w:rPr>
          <w:highlight w:val="yellow"/>
        </w:rPr>
      </w:pPr>
      <w:r>
        <w:rPr>
          <w:noProof/>
          <w:lang w:val="en-AU" w:eastAsia="en-AU"/>
        </w:rPr>
        <w:drawing>
          <wp:inline distT="0" distB="0" distL="0" distR="0" wp14:anchorId="7A3F3A3D" wp14:editId="66AA2C05">
            <wp:extent cx="6400800" cy="7639050"/>
            <wp:effectExtent l="57150" t="57150" r="114300" b="1143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763905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D01B67" w:rsidRPr="00827F2B" w:rsidRDefault="00827F2B" w:rsidP="00C60996">
      <w:pPr>
        <w:pStyle w:val="Heading2"/>
      </w:pPr>
      <w:bookmarkStart w:id="259" w:name="_Toc460406695"/>
      <w:bookmarkStart w:id="260" w:name="_Toc460407074"/>
      <w:bookmarkStart w:id="261" w:name="_Toc460487977"/>
      <w:bookmarkEnd w:id="249"/>
      <w:r w:rsidRPr="00827F2B">
        <w:lastRenderedPageBreak/>
        <w:t>Independent Auditor’s Report</w:t>
      </w:r>
      <w:bookmarkEnd w:id="259"/>
      <w:bookmarkEnd w:id="260"/>
      <w:bookmarkEnd w:id="261"/>
    </w:p>
    <w:p w:rsidR="00D01B67" w:rsidRPr="004D0C71" w:rsidRDefault="00860E40" w:rsidP="00827F2B">
      <w:pPr>
        <w:pStyle w:val="BodyText"/>
        <w:spacing w:line="360" w:lineRule="auto"/>
        <w:rPr>
          <w:rFonts w:ascii="Arial Bold" w:hAnsi="Arial Bold"/>
          <w:b/>
          <w:i/>
          <w:color w:val="AB054C"/>
          <w:sz w:val="36"/>
          <w:szCs w:val="36"/>
        </w:rPr>
      </w:pPr>
      <w:r>
        <w:rPr>
          <w:noProof/>
          <w:lang w:val="en-AU" w:eastAsia="en-AU"/>
        </w:rPr>
        <w:drawing>
          <wp:inline distT="0" distB="0" distL="0" distR="0" wp14:anchorId="2967B161" wp14:editId="0A0CAFDB">
            <wp:extent cx="6296025" cy="7897233"/>
            <wp:effectExtent l="57150" t="57150" r="104775" b="1231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6025" cy="7897233"/>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r w:rsidR="007621B8" w:rsidRPr="00341581">
        <w:br w:type="page"/>
      </w:r>
      <w:bookmarkStart w:id="262" w:name="_Toc442339183"/>
      <w:bookmarkStart w:id="263" w:name="_Toc446075135"/>
      <w:r w:rsidR="00583F71" w:rsidRPr="004D0C71">
        <w:rPr>
          <w:rFonts w:ascii="Arial Bold" w:hAnsi="Arial Bold"/>
          <w:b/>
          <w:i/>
          <w:color w:val="AB054C"/>
          <w:sz w:val="36"/>
          <w:szCs w:val="36"/>
        </w:rPr>
        <w:lastRenderedPageBreak/>
        <w:t xml:space="preserve">Independent </w:t>
      </w:r>
      <w:r w:rsidR="0031113D">
        <w:rPr>
          <w:rFonts w:ascii="Arial Bold" w:hAnsi="Arial Bold"/>
          <w:b/>
          <w:i/>
          <w:color w:val="AB054C"/>
          <w:sz w:val="36"/>
          <w:szCs w:val="36"/>
        </w:rPr>
        <w:t>A</w:t>
      </w:r>
      <w:r w:rsidR="00583F71" w:rsidRPr="004D0C71">
        <w:rPr>
          <w:rFonts w:ascii="Arial Bold" w:hAnsi="Arial Bold"/>
          <w:b/>
          <w:i/>
          <w:color w:val="AB054C"/>
          <w:sz w:val="36"/>
          <w:szCs w:val="36"/>
        </w:rPr>
        <w:t xml:space="preserve">uditor’s </w:t>
      </w:r>
      <w:r w:rsidR="00FD076A" w:rsidRPr="004D0C71">
        <w:rPr>
          <w:rFonts w:ascii="Arial Bold" w:hAnsi="Arial Bold"/>
          <w:b/>
          <w:i/>
          <w:color w:val="AB054C"/>
          <w:sz w:val="36"/>
          <w:szCs w:val="36"/>
        </w:rPr>
        <w:t>r</w:t>
      </w:r>
      <w:r w:rsidR="00583F71" w:rsidRPr="004D0C71">
        <w:rPr>
          <w:rFonts w:ascii="Arial Bold" w:hAnsi="Arial Bold"/>
          <w:b/>
          <w:i/>
          <w:color w:val="AB054C"/>
          <w:sz w:val="36"/>
          <w:szCs w:val="36"/>
        </w:rPr>
        <w:t>eport</w:t>
      </w:r>
      <w:bookmarkEnd w:id="262"/>
      <w:bookmarkEnd w:id="263"/>
      <w:r w:rsidR="00827F2B" w:rsidRPr="004D0C71">
        <w:rPr>
          <w:rFonts w:ascii="Arial Bold" w:hAnsi="Arial Bold"/>
          <w:b/>
          <w:i/>
          <w:color w:val="AB054C"/>
          <w:sz w:val="36"/>
          <w:szCs w:val="36"/>
        </w:rPr>
        <w:t xml:space="preserve"> (</w:t>
      </w:r>
      <w:r w:rsidR="004D0C71" w:rsidRPr="004D0C71">
        <w:rPr>
          <w:rFonts w:ascii="Arial Bold" w:hAnsi="Arial Bold"/>
          <w:b/>
          <w:i/>
          <w:color w:val="AB054C"/>
          <w:sz w:val="36"/>
          <w:szCs w:val="36"/>
        </w:rPr>
        <w:t>c</w:t>
      </w:r>
      <w:r w:rsidR="00827F2B" w:rsidRPr="004D0C71">
        <w:rPr>
          <w:rFonts w:ascii="Arial Bold" w:hAnsi="Arial Bold"/>
          <w:b/>
          <w:i/>
          <w:color w:val="AB054C"/>
          <w:sz w:val="36"/>
          <w:szCs w:val="36"/>
        </w:rPr>
        <w:t>ont</w:t>
      </w:r>
      <w:r w:rsidR="004D0C71" w:rsidRPr="004D0C71">
        <w:rPr>
          <w:rFonts w:ascii="Arial Bold" w:hAnsi="Arial Bold"/>
          <w:b/>
          <w:i/>
          <w:color w:val="AB054C"/>
          <w:sz w:val="36"/>
          <w:szCs w:val="36"/>
        </w:rPr>
        <w:t>’d</w:t>
      </w:r>
      <w:r w:rsidR="00827F2B" w:rsidRPr="004D0C71">
        <w:rPr>
          <w:rFonts w:ascii="Arial Bold" w:hAnsi="Arial Bold"/>
          <w:b/>
          <w:i/>
          <w:color w:val="AB054C"/>
          <w:sz w:val="36"/>
          <w:szCs w:val="36"/>
        </w:rPr>
        <w:t>)</w:t>
      </w:r>
    </w:p>
    <w:p w:rsidR="003D7813" w:rsidRDefault="00827F2B">
      <w:r>
        <w:rPr>
          <w:noProof/>
          <w:lang w:val="en-AU" w:eastAsia="en-AU"/>
        </w:rPr>
        <w:drawing>
          <wp:inline distT="0" distB="0" distL="0" distR="0" wp14:anchorId="23C32154" wp14:editId="0FE252E9">
            <wp:extent cx="6334125" cy="7658100"/>
            <wp:effectExtent l="57150" t="57150" r="123825" b="1143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34125" cy="7658100"/>
                    </a:xfrm>
                    <a:prstGeom prst="rect">
                      <a:avLst/>
                    </a:prstGeom>
                    <a:noFill/>
                    <a:ln>
                      <a:solidFill>
                        <a:schemeClr val="accent1">
                          <a:alpha val="20000"/>
                        </a:schemeClr>
                      </a:solidFill>
                    </a:ln>
                    <a:effectLst>
                      <a:outerShdw blurRad="50800" dist="38100" dir="2700000" algn="ctr" rotWithShape="0">
                        <a:srgbClr val="AB054C">
                          <a:alpha val="40000"/>
                        </a:srgbClr>
                      </a:outerShdw>
                    </a:effectLst>
                  </pic:spPr>
                </pic:pic>
              </a:graphicData>
            </a:graphic>
          </wp:inline>
        </w:drawing>
      </w:r>
    </w:p>
    <w:p w:rsidR="007621B8" w:rsidRPr="00341581" w:rsidRDefault="007621B8" w:rsidP="00F11EFB">
      <w:pPr>
        <w:jc w:val="center"/>
        <w:rPr>
          <w:rFonts w:eastAsiaTheme="majorEastAsia"/>
          <w:b/>
          <w:i/>
          <w:caps/>
          <w:color w:val="670022" w:themeColor="accent1" w:themeShade="BF"/>
          <w:sz w:val="32"/>
          <w14:ligatures w14:val="standardContextual"/>
        </w:rPr>
      </w:pPr>
      <w:r w:rsidRPr="00341581">
        <w:br w:type="page"/>
      </w:r>
    </w:p>
    <w:p w:rsidR="007621B8" w:rsidRPr="00341581" w:rsidRDefault="00B2375C" w:rsidP="002335C3">
      <w:pPr>
        <w:pStyle w:val="Heading1"/>
        <w:ind w:left="0" w:right="0"/>
      </w:pPr>
      <w:bookmarkStart w:id="264" w:name="_Toc460406696"/>
      <w:bookmarkStart w:id="265" w:name="_Toc460406846"/>
      <w:bookmarkStart w:id="266" w:name="_Toc460406882"/>
      <w:bookmarkStart w:id="267" w:name="_Toc460406961"/>
      <w:bookmarkStart w:id="268" w:name="_Toc460407075"/>
      <w:bookmarkStart w:id="269" w:name="_Toc460487978"/>
      <w:r w:rsidRPr="00341581">
        <w:lastRenderedPageBreak/>
        <w:t>A</w:t>
      </w:r>
      <w:r>
        <w:t>ppendices</w:t>
      </w:r>
      <w:bookmarkEnd w:id="264"/>
      <w:bookmarkEnd w:id="265"/>
      <w:bookmarkEnd w:id="266"/>
      <w:bookmarkEnd w:id="267"/>
      <w:bookmarkEnd w:id="268"/>
      <w:bookmarkEnd w:id="269"/>
    </w:p>
    <w:p w:rsidR="00FD076A" w:rsidRPr="00C903AA" w:rsidRDefault="007621B8" w:rsidP="00C60996">
      <w:pPr>
        <w:pStyle w:val="Heading2"/>
      </w:pPr>
      <w:bookmarkStart w:id="270" w:name="_Toc415049813"/>
      <w:bookmarkStart w:id="271" w:name="_Toc415050365"/>
      <w:bookmarkStart w:id="272" w:name="_Toc441671827"/>
      <w:bookmarkStart w:id="273" w:name="_Toc441672115"/>
      <w:bookmarkStart w:id="274" w:name="_Toc442168902"/>
      <w:bookmarkStart w:id="275" w:name="_Toc460406697"/>
      <w:bookmarkStart w:id="276" w:name="_Toc460406847"/>
      <w:bookmarkStart w:id="277" w:name="_Toc460406883"/>
      <w:bookmarkStart w:id="278" w:name="_Toc460406962"/>
      <w:bookmarkStart w:id="279" w:name="_Toc460407076"/>
      <w:bookmarkStart w:id="280" w:name="_Toc460487979"/>
      <w:r w:rsidRPr="00C903AA">
        <w:t>Acronyms</w:t>
      </w:r>
      <w:bookmarkEnd w:id="270"/>
      <w:bookmarkEnd w:id="271"/>
      <w:bookmarkEnd w:id="272"/>
      <w:bookmarkEnd w:id="273"/>
      <w:bookmarkEnd w:id="274"/>
      <w:bookmarkEnd w:id="275"/>
      <w:bookmarkEnd w:id="276"/>
      <w:bookmarkEnd w:id="277"/>
      <w:bookmarkEnd w:id="278"/>
      <w:bookmarkEnd w:id="279"/>
      <w:bookmarkEnd w:id="280"/>
      <w:r w:rsidR="00924ECD" w:rsidRPr="00C903AA">
        <w:t xml:space="preserve"> </w:t>
      </w:r>
    </w:p>
    <w:p w:rsidR="00CD3A68" w:rsidRPr="00CE59F5" w:rsidRDefault="00CD3A68" w:rsidP="00CD3A68">
      <w:pPr>
        <w:pStyle w:val="Default"/>
        <w:tabs>
          <w:tab w:val="left" w:pos="851"/>
        </w:tabs>
        <w:rPr>
          <w:iCs/>
          <w:sz w:val="18"/>
          <w:szCs w:val="18"/>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742"/>
        <w:gridCol w:w="495"/>
        <w:gridCol w:w="1134"/>
        <w:gridCol w:w="3742"/>
      </w:tblGrid>
      <w:tr w:rsidR="002755B8" w:rsidRPr="00F84239" w:rsidTr="00C60996">
        <w:tc>
          <w:tcPr>
            <w:tcW w:w="1134" w:type="dxa"/>
            <w:shd w:val="clear" w:color="auto" w:fill="FEDADD" w:themeFill="accent5"/>
            <w:vAlign w:val="center"/>
          </w:tcPr>
          <w:p w:rsidR="002755B8" w:rsidRPr="00F84239" w:rsidRDefault="00C903AA" w:rsidP="00B66DA7">
            <w:pPr>
              <w:spacing w:after="120" w:line="276" w:lineRule="auto"/>
              <w:rPr>
                <w:b/>
              </w:rPr>
            </w:pPr>
            <w:r>
              <w:rPr>
                <w:szCs w:val="22"/>
              </w:rPr>
              <w:t>AEDP</w:t>
            </w:r>
          </w:p>
        </w:tc>
        <w:tc>
          <w:tcPr>
            <w:tcW w:w="3742" w:type="dxa"/>
            <w:shd w:val="clear" w:color="auto" w:fill="FEDADD" w:themeFill="accent5"/>
            <w:vAlign w:val="center"/>
          </w:tcPr>
          <w:p w:rsidR="002755B8" w:rsidRPr="00F84239" w:rsidRDefault="00C903AA" w:rsidP="00B66DA7">
            <w:pPr>
              <w:spacing w:after="120" w:line="276" w:lineRule="auto"/>
              <w:rPr>
                <w:b/>
              </w:rPr>
            </w:pPr>
            <w:r>
              <w:rPr>
                <w:szCs w:val="22"/>
              </w:rPr>
              <w:t>Assurance and Excellence Development Program</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shd w:val="clear" w:color="auto" w:fill="FEDADD" w:themeFill="accent5"/>
            <w:vAlign w:val="center"/>
          </w:tcPr>
          <w:p w:rsidR="002755B8" w:rsidRPr="00F84239" w:rsidRDefault="000C6213" w:rsidP="00B66DA7">
            <w:pPr>
              <w:spacing w:after="120" w:line="276" w:lineRule="auto"/>
              <w:rPr>
                <w:b/>
              </w:rPr>
            </w:pPr>
            <w:r>
              <w:rPr>
                <w:szCs w:val="22"/>
              </w:rPr>
              <w:t>HIA</w:t>
            </w:r>
          </w:p>
        </w:tc>
        <w:tc>
          <w:tcPr>
            <w:tcW w:w="3742" w:type="dxa"/>
            <w:shd w:val="clear" w:color="auto" w:fill="FEDADD" w:themeFill="accent5"/>
            <w:vAlign w:val="center"/>
          </w:tcPr>
          <w:p w:rsidR="002755B8" w:rsidRPr="00F84239" w:rsidRDefault="000C6213" w:rsidP="00B66DA7">
            <w:pPr>
              <w:spacing w:after="120" w:line="276" w:lineRule="auto"/>
              <w:rPr>
                <w:b/>
              </w:rPr>
            </w:pPr>
            <w:r>
              <w:rPr>
                <w:szCs w:val="22"/>
              </w:rPr>
              <w:t>Head of Internal Audit</w:t>
            </w:r>
          </w:p>
        </w:tc>
      </w:tr>
      <w:tr w:rsidR="002755B8" w:rsidRPr="00F84239" w:rsidTr="002335C3">
        <w:tc>
          <w:tcPr>
            <w:tcW w:w="1134" w:type="dxa"/>
            <w:vAlign w:val="center"/>
          </w:tcPr>
          <w:p w:rsidR="002755B8" w:rsidRPr="00F84239" w:rsidRDefault="00C903AA" w:rsidP="00B66DA7">
            <w:pPr>
              <w:spacing w:after="120" w:line="276" w:lineRule="auto"/>
              <w:rPr>
                <w:b/>
              </w:rPr>
            </w:pPr>
            <w:r>
              <w:rPr>
                <w:szCs w:val="22"/>
              </w:rPr>
              <w:t>AFAC</w:t>
            </w:r>
          </w:p>
        </w:tc>
        <w:tc>
          <w:tcPr>
            <w:tcW w:w="3742" w:type="dxa"/>
            <w:vAlign w:val="center"/>
          </w:tcPr>
          <w:p w:rsidR="002755B8" w:rsidRPr="00F84239" w:rsidRDefault="00C903AA" w:rsidP="00B66DA7">
            <w:pPr>
              <w:spacing w:after="120" w:line="276" w:lineRule="auto"/>
              <w:rPr>
                <w:b/>
              </w:rPr>
            </w:pPr>
            <w:r>
              <w:rPr>
                <w:szCs w:val="22"/>
              </w:rPr>
              <w:t>Australasian Fire and Emergency Service Authorities Council</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vAlign w:val="center"/>
          </w:tcPr>
          <w:p w:rsidR="002755B8" w:rsidRPr="00F84239" w:rsidRDefault="000C6213" w:rsidP="00B66DA7">
            <w:pPr>
              <w:spacing w:after="120" w:line="276" w:lineRule="auto"/>
              <w:rPr>
                <w:b/>
              </w:rPr>
            </w:pPr>
            <w:r>
              <w:rPr>
                <w:szCs w:val="22"/>
              </w:rPr>
              <w:t>HRIS</w:t>
            </w:r>
          </w:p>
        </w:tc>
        <w:tc>
          <w:tcPr>
            <w:tcW w:w="3742" w:type="dxa"/>
            <w:vAlign w:val="center"/>
          </w:tcPr>
          <w:p w:rsidR="002755B8" w:rsidRPr="00F84239" w:rsidRDefault="000C6213" w:rsidP="00B84859">
            <w:pPr>
              <w:spacing w:after="120" w:line="276" w:lineRule="auto"/>
              <w:rPr>
                <w:b/>
                <w:i/>
              </w:rPr>
            </w:pPr>
            <w:r>
              <w:rPr>
                <w:szCs w:val="22"/>
              </w:rPr>
              <w:t>Human Resource Information Solution</w:t>
            </w:r>
          </w:p>
        </w:tc>
      </w:tr>
      <w:tr w:rsidR="002755B8" w:rsidRPr="00F84239" w:rsidTr="00C60996">
        <w:tc>
          <w:tcPr>
            <w:tcW w:w="1134" w:type="dxa"/>
            <w:shd w:val="clear" w:color="auto" w:fill="FEDADD" w:themeFill="accent5"/>
            <w:vAlign w:val="center"/>
          </w:tcPr>
          <w:p w:rsidR="002755B8" w:rsidRPr="00F84239" w:rsidRDefault="00C903AA" w:rsidP="00B66DA7">
            <w:pPr>
              <w:spacing w:after="200" w:line="276" w:lineRule="auto"/>
              <w:rPr>
                <w:b/>
              </w:rPr>
            </w:pPr>
            <w:r w:rsidRPr="00924ECD">
              <w:rPr>
                <w:szCs w:val="22"/>
              </w:rPr>
              <w:t>ARR</w:t>
            </w:r>
          </w:p>
        </w:tc>
        <w:tc>
          <w:tcPr>
            <w:tcW w:w="3742" w:type="dxa"/>
            <w:shd w:val="clear" w:color="auto" w:fill="FEDADD" w:themeFill="accent5"/>
            <w:vAlign w:val="center"/>
          </w:tcPr>
          <w:p w:rsidR="002755B8" w:rsidRPr="008F4F9D" w:rsidRDefault="00C903AA" w:rsidP="00B66DA7">
            <w:pPr>
              <w:spacing w:after="200" w:line="276" w:lineRule="auto"/>
              <w:rPr>
                <w:b/>
                <w:i/>
              </w:rPr>
            </w:pPr>
            <w:r w:rsidRPr="008F4F9D">
              <w:rPr>
                <w:i/>
                <w:szCs w:val="22"/>
              </w:rPr>
              <w:t>Annual report requirements</w:t>
            </w:r>
            <w:r w:rsidR="008F4F9D" w:rsidRPr="008F4F9D">
              <w:rPr>
                <w:i/>
                <w:szCs w:val="22"/>
              </w:rPr>
              <w:t xml:space="preserve"> for Queensland Government agencies</w:t>
            </w:r>
          </w:p>
        </w:tc>
        <w:tc>
          <w:tcPr>
            <w:tcW w:w="495" w:type="dxa"/>
            <w:shd w:val="clear" w:color="auto" w:fill="auto"/>
            <w:vAlign w:val="center"/>
          </w:tcPr>
          <w:p w:rsidR="002755B8" w:rsidRPr="00F84239" w:rsidRDefault="002755B8" w:rsidP="00B66DA7">
            <w:pPr>
              <w:spacing w:after="200" w:line="276" w:lineRule="auto"/>
              <w:rPr>
                <w:b/>
              </w:rPr>
            </w:pPr>
          </w:p>
        </w:tc>
        <w:tc>
          <w:tcPr>
            <w:tcW w:w="1134" w:type="dxa"/>
            <w:shd w:val="clear" w:color="auto" w:fill="FEDADD"/>
            <w:vAlign w:val="center"/>
          </w:tcPr>
          <w:p w:rsidR="002755B8" w:rsidRPr="00F84239" w:rsidRDefault="000C6213" w:rsidP="00B66DA7">
            <w:pPr>
              <w:spacing w:after="200" w:line="276" w:lineRule="auto"/>
              <w:rPr>
                <w:b/>
              </w:rPr>
            </w:pPr>
            <w:r w:rsidRPr="00924ECD">
              <w:rPr>
                <w:szCs w:val="22"/>
              </w:rPr>
              <w:t>IGEM</w:t>
            </w:r>
          </w:p>
        </w:tc>
        <w:tc>
          <w:tcPr>
            <w:tcW w:w="3742" w:type="dxa"/>
            <w:shd w:val="clear" w:color="auto" w:fill="FEDADD"/>
            <w:vAlign w:val="center"/>
          </w:tcPr>
          <w:p w:rsidR="002755B8" w:rsidRPr="00F84239" w:rsidRDefault="000C6213" w:rsidP="00B66DA7">
            <w:pPr>
              <w:spacing w:after="200" w:line="276" w:lineRule="auto"/>
              <w:rPr>
                <w:b/>
                <w:i/>
              </w:rPr>
            </w:pPr>
            <w:r w:rsidRPr="00924ECD">
              <w:rPr>
                <w:szCs w:val="22"/>
              </w:rPr>
              <w:t>Inspector-General Emergency Management</w:t>
            </w:r>
          </w:p>
        </w:tc>
      </w:tr>
      <w:tr w:rsidR="002755B8" w:rsidRPr="00F84239" w:rsidTr="002335C3">
        <w:tc>
          <w:tcPr>
            <w:tcW w:w="1134" w:type="dxa"/>
            <w:vAlign w:val="center"/>
          </w:tcPr>
          <w:p w:rsidR="002755B8" w:rsidRPr="00F84239" w:rsidRDefault="00C903AA" w:rsidP="00B66DA7">
            <w:pPr>
              <w:spacing w:after="120" w:line="276" w:lineRule="auto"/>
              <w:rPr>
                <w:b/>
              </w:rPr>
            </w:pPr>
            <w:r>
              <w:rPr>
                <w:szCs w:val="22"/>
              </w:rPr>
              <w:t>CCC</w:t>
            </w:r>
          </w:p>
        </w:tc>
        <w:tc>
          <w:tcPr>
            <w:tcW w:w="3742" w:type="dxa"/>
            <w:vAlign w:val="center"/>
          </w:tcPr>
          <w:p w:rsidR="002755B8" w:rsidRPr="00F84239" w:rsidRDefault="00C903AA" w:rsidP="00B66DA7">
            <w:pPr>
              <w:spacing w:after="120" w:line="276" w:lineRule="auto"/>
              <w:rPr>
                <w:b/>
              </w:rPr>
            </w:pPr>
            <w:r>
              <w:rPr>
                <w:szCs w:val="22"/>
              </w:rPr>
              <w:t>Crime and Corruption Commission</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vAlign w:val="center"/>
          </w:tcPr>
          <w:p w:rsidR="002755B8" w:rsidRPr="00F84239" w:rsidRDefault="000C6213" w:rsidP="00B66DA7">
            <w:pPr>
              <w:spacing w:after="120" w:line="276" w:lineRule="auto"/>
              <w:rPr>
                <w:b/>
              </w:rPr>
            </w:pPr>
            <w:r w:rsidRPr="00924ECD">
              <w:rPr>
                <w:szCs w:val="22"/>
              </w:rPr>
              <w:t>PSBA</w:t>
            </w:r>
          </w:p>
        </w:tc>
        <w:tc>
          <w:tcPr>
            <w:tcW w:w="3742" w:type="dxa"/>
            <w:vAlign w:val="center"/>
          </w:tcPr>
          <w:p w:rsidR="002755B8" w:rsidRPr="00F84239" w:rsidRDefault="000C6213" w:rsidP="00B66DA7">
            <w:pPr>
              <w:spacing w:after="120" w:line="276" w:lineRule="auto"/>
              <w:rPr>
                <w:b/>
              </w:rPr>
            </w:pPr>
            <w:r w:rsidRPr="00924ECD">
              <w:rPr>
                <w:szCs w:val="22"/>
              </w:rPr>
              <w:t>Public Safety Business Agency</w:t>
            </w:r>
          </w:p>
        </w:tc>
      </w:tr>
      <w:tr w:rsidR="002755B8" w:rsidRPr="00F84239" w:rsidTr="00C60996">
        <w:tc>
          <w:tcPr>
            <w:tcW w:w="1134" w:type="dxa"/>
            <w:shd w:val="clear" w:color="auto" w:fill="FEDADD" w:themeFill="accent5"/>
            <w:vAlign w:val="center"/>
          </w:tcPr>
          <w:p w:rsidR="002755B8" w:rsidRPr="00F84239" w:rsidRDefault="00C903AA" w:rsidP="00B66DA7">
            <w:pPr>
              <w:spacing w:after="120" w:line="276" w:lineRule="auto"/>
              <w:rPr>
                <w:b/>
              </w:rPr>
            </w:pPr>
            <w:r>
              <w:rPr>
                <w:szCs w:val="22"/>
              </w:rPr>
              <w:t>CRC</w:t>
            </w:r>
          </w:p>
        </w:tc>
        <w:tc>
          <w:tcPr>
            <w:tcW w:w="3742" w:type="dxa"/>
            <w:shd w:val="clear" w:color="auto" w:fill="FEDADD" w:themeFill="accent5"/>
            <w:vAlign w:val="center"/>
          </w:tcPr>
          <w:p w:rsidR="002755B8" w:rsidRPr="00F84239" w:rsidRDefault="00C903AA" w:rsidP="00B66DA7">
            <w:pPr>
              <w:spacing w:after="120" w:line="276" w:lineRule="auto"/>
              <w:rPr>
                <w:b/>
              </w:rPr>
            </w:pPr>
            <w:r>
              <w:rPr>
                <w:szCs w:val="22"/>
              </w:rPr>
              <w:t>Cooperative Research Centre</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shd w:val="clear" w:color="auto" w:fill="FEDADD" w:themeFill="accent5"/>
            <w:vAlign w:val="center"/>
          </w:tcPr>
          <w:p w:rsidR="002755B8" w:rsidRPr="00F84239" w:rsidRDefault="000C6213" w:rsidP="00B66DA7">
            <w:pPr>
              <w:spacing w:after="120" w:line="276" w:lineRule="auto"/>
              <w:rPr>
                <w:b/>
              </w:rPr>
            </w:pPr>
            <w:r>
              <w:rPr>
                <w:szCs w:val="22"/>
              </w:rPr>
              <w:t>QAO</w:t>
            </w:r>
            <w:r w:rsidR="00C903AA" w:rsidRPr="00924ECD">
              <w:rPr>
                <w:szCs w:val="22"/>
              </w:rPr>
              <w:tab/>
            </w:r>
          </w:p>
        </w:tc>
        <w:tc>
          <w:tcPr>
            <w:tcW w:w="3742" w:type="dxa"/>
            <w:shd w:val="clear" w:color="auto" w:fill="FEDADD" w:themeFill="accent5"/>
            <w:vAlign w:val="center"/>
          </w:tcPr>
          <w:p w:rsidR="002755B8" w:rsidRPr="000C6213" w:rsidRDefault="000C6213" w:rsidP="008F4F9D">
            <w:pPr>
              <w:pStyle w:val="Default"/>
              <w:tabs>
                <w:tab w:val="left" w:pos="851"/>
              </w:tabs>
              <w:rPr>
                <w:b/>
                <w:u w:val="none"/>
              </w:rPr>
            </w:pPr>
            <w:r w:rsidRPr="000C6213">
              <w:rPr>
                <w:szCs w:val="22"/>
                <w:u w:val="none"/>
              </w:rPr>
              <w:t>Queensland Audit Office</w:t>
            </w:r>
          </w:p>
        </w:tc>
      </w:tr>
      <w:tr w:rsidR="002755B8" w:rsidRPr="00F84239" w:rsidTr="002335C3">
        <w:tc>
          <w:tcPr>
            <w:tcW w:w="1134" w:type="dxa"/>
            <w:vAlign w:val="center"/>
          </w:tcPr>
          <w:p w:rsidR="002755B8" w:rsidRPr="00F84239" w:rsidRDefault="00C903AA" w:rsidP="00B66DA7">
            <w:pPr>
              <w:spacing w:after="120" w:line="276" w:lineRule="auto"/>
              <w:rPr>
                <w:b/>
              </w:rPr>
            </w:pPr>
            <w:r>
              <w:rPr>
                <w:szCs w:val="22"/>
              </w:rPr>
              <w:t>CRM</w:t>
            </w:r>
          </w:p>
        </w:tc>
        <w:tc>
          <w:tcPr>
            <w:tcW w:w="3742" w:type="dxa"/>
            <w:vAlign w:val="center"/>
          </w:tcPr>
          <w:p w:rsidR="002755B8" w:rsidRPr="00F84239" w:rsidRDefault="00C903AA" w:rsidP="00B66DA7">
            <w:pPr>
              <w:spacing w:after="120" w:line="276" w:lineRule="auto"/>
              <w:rPr>
                <w:b/>
              </w:rPr>
            </w:pPr>
            <w:r>
              <w:rPr>
                <w:szCs w:val="22"/>
              </w:rPr>
              <w:t>Customer Relationship Management</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vAlign w:val="center"/>
          </w:tcPr>
          <w:p w:rsidR="002755B8" w:rsidRPr="00F84239" w:rsidRDefault="000C6213" w:rsidP="00B66DA7">
            <w:pPr>
              <w:spacing w:after="120" w:line="276" w:lineRule="auto"/>
              <w:rPr>
                <w:b/>
              </w:rPr>
            </w:pPr>
            <w:r>
              <w:rPr>
                <w:szCs w:val="22"/>
              </w:rPr>
              <w:t>QAS</w:t>
            </w:r>
          </w:p>
        </w:tc>
        <w:tc>
          <w:tcPr>
            <w:tcW w:w="3742" w:type="dxa"/>
            <w:vAlign w:val="center"/>
          </w:tcPr>
          <w:p w:rsidR="002755B8" w:rsidRPr="00F84239" w:rsidRDefault="000C6213" w:rsidP="00B66DA7">
            <w:pPr>
              <w:spacing w:after="120" w:line="276" w:lineRule="auto"/>
              <w:rPr>
                <w:b/>
              </w:rPr>
            </w:pPr>
            <w:r>
              <w:rPr>
                <w:szCs w:val="22"/>
              </w:rPr>
              <w:t>Queensland Ambulance Service</w:t>
            </w:r>
          </w:p>
        </w:tc>
      </w:tr>
      <w:tr w:rsidR="002755B8" w:rsidRPr="00F84239" w:rsidTr="00C60996">
        <w:tc>
          <w:tcPr>
            <w:tcW w:w="1134" w:type="dxa"/>
            <w:shd w:val="clear" w:color="auto" w:fill="FEDADD" w:themeFill="accent5"/>
            <w:vAlign w:val="center"/>
          </w:tcPr>
          <w:p w:rsidR="002755B8" w:rsidRPr="00F84239" w:rsidRDefault="00C903AA" w:rsidP="00B66DA7">
            <w:pPr>
              <w:spacing w:after="120" w:line="276" w:lineRule="auto"/>
              <w:rPr>
                <w:b/>
              </w:rPr>
            </w:pPr>
            <w:r>
              <w:rPr>
                <w:szCs w:val="22"/>
              </w:rPr>
              <w:t>DJAG</w:t>
            </w:r>
          </w:p>
        </w:tc>
        <w:tc>
          <w:tcPr>
            <w:tcW w:w="3742" w:type="dxa"/>
            <w:shd w:val="clear" w:color="auto" w:fill="FEDADD" w:themeFill="accent5"/>
            <w:vAlign w:val="center"/>
          </w:tcPr>
          <w:p w:rsidR="002755B8" w:rsidRPr="00F84239" w:rsidRDefault="00C903AA" w:rsidP="00B66DA7">
            <w:pPr>
              <w:spacing w:after="120" w:line="276" w:lineRule="auto"/>
              <w:rPr>
                <w:b/>
              </w:rPr>
            </w:pPr>
            <w:r>
              <w:rPr>
                <w:szCs w:val="22"/>
              </w:rPr>
              <w:t>Department of Justice and Attorney-General</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shd w:val="clear" w:color="auto" w:fill="FEDADD" w:themeFill="accent5"/>
            <w:vAlign w:val="center"/>
          </w:tcPr>
          <w:p w:rsidR="002755B8" w:rsidRPr="00F84239" w:rsidRDefault="000C6213" w:rsidP="00B66DA7">
            <w:pPr>
              <w:spacing w:after="120" w:line="276" w:lineRule="auto"/>
              <w:rPr>
                <w:b/>
              </w:rPr>
            </w:pPr>
            <w:r>
              <w:rPr>
                <w:szCs w:val="22"/>
              </w:rPr>
              <w:t>QCS</w:t>
            </w:r>
          </w:p>
        </w:tc>
        <w:tc>
          <w:tcPr>
            <w:tcW w:w="3742" w:type="dxa"/>
            <w:shd w:val="clear" w:color="auto" w:fill="FEDADD" w:themeFill="accent5"/>
            <w:vAlign w:val="center"/>
          </w:tcPr>
          <w:p w:rsidR="002755B8" w:rsidRPr="00F84239" w:rsidRDefault="000C6213" w:rsidP="00B66DA7">
            <w:pPr>
              <w:spacing w:after="120" w:line="276" w:lineRule="auto"/>
              <w:rPr>
                <w:b/>
              </w:rPr>
            </w:pPr>
            <w:r>
              <w:rPr>
                <w:szCs w:val="22"/>
              </w:rPr>
              <w:t>Queensland Corrective Services</w:t>
            </w:r>
          </w:p>
        </w:tc>
      </w:tr>
      <w:tr w:rsidR="002755B8" w:rsidRPr="00F84239" w:rsidTr="002335C3">
        <w:tc>
          <w:tcPr>
            <w:tcW w:w="1134" w:type="dxa"/>
            <w:vAlign w:val="center"/>
          </w:tcPr>
          <w:p w:rsidR="002755B8" w:rsidRPr="00F84239" w:rsidRDefault="00C903AA" w:rsidP="00B66DA7">
            <w:pPr>
              <w:spacing w:after="120" w:line="276" w:lineRule="auto"/>
              <w:rPr>
                <w:b/>
              </w:rPr>
            </w:pPr>
            <w:r>
              <w:rPr>
                <w:szCs w:val="22"/>
              </w:rPr>
              <w:t>DMO</w:t>
            </w:r>
          </w:p>
        </w:tc>
        <w:tc>
          <w:tcPr>
            <w:tcW w:w="3742" w:type="dxa"/>
            <w:vAlign w:val="center"/>
          </w:tcPr>
          <w:p w:rsidR="002755B8" w:rsidRPr="00F84239" w:rsidRDefault="00C903AA" w:rsidP="00B66DA7">
            <w:pPr>
              <w:spacing w:after="120" w:line="276" w:lineRule="auto"/>
              <w:rPr>
                <w:b/>
              </w:rPr>
            </w:pPr>
            <w:r>
              <w:rPr>
                <w:szCs w:val="22"/>
              </w:rPr>
              <w:t>Disaster Management Officer</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vAlign w:val="center"/>
          </w:tcPr>
          <w:p w:rsidR="002755B8" w:rsidRPr="00F84239" w:rsidRDefault="000C6213" w:rsidP="00B66DA7">
            <w:pPr>
              <w:spacing w:after="120" w:line="276" w:lineRule="auto"/>
              <w:rPr>
                <w:b/>
              </w:rPr>
            </w:pPr>
            <w:r w:rsidRPr="00924ECD">
              <w:rPr>
                <w:szCs w:val="22"/>
              </w:rPr>
              <w:t>QFES</w:t>
            </w:r>
          </w:p>
        </w:tc>
        <w:tc>
          <w:tcPr>
            <w:tcW w:w="3742" w:type="dxa"/>
            <w:vAlign w:val="center"/>
          </w:tcPr>
          <w:p w:rsidR="002755B8" w:rsidRPr="00F84239" w:rsidRDefault="000C6213" w:rsidP="00B66DA7">
            <w:pPr>
              <w:spacing w:after="120" w:line="276" w:lineRule="auto"/>
              <w:rPr>
                <w:b/>
              </w:rPr>
            </w:pPr>
            <w:r w:rsidRPr="00924ECD">
              <w:rPr>
                <w:szCs w:val="22"/>
              </w:rPr>
              <w:t>Queensland Fire and Emergency Services</w:t>
            </w:r>
          </w:p>
        </w:tc>
      </w:tr>
      <w:tr w:rsidR="002755B8" w:rsidRPr="00F84239" w:rsidTr="00C60996">
        <w:tc>
          <w:tcPr>
            <w:tcW w:w="1134" w:type="dxa"/>
            <w:shd w:val="clear" w:color="auto" w:fill="FEDADD" w:themeFill="accent5"/>
            <w:vAlign w:val="center"/>
          </w:tcPr>
          <w:p w:rsidR="002755B8" w:rsidRPr="00F84239" w:rsidRDefault="00C903AA" w:rsidP="00B66DA7">
            <w:pPr>
              <w:spacing w:after="120" w:line="276" w:lineRule="auto"/>
              <w:rPr>
                <w:b/>
              </w:rPr>
            </w:pPr>
            <w:r>
              <w:rPr>
                <w:szCs w:val="22"/>
              </w:rPr>
              <w:t>EM</w:t>
            </w:r>
          </w:p>
        </w:tc>
        <w:tc>
          <w:tcPr>
            <w:tcW w:w="3742" w:type="dxa"/>
            <w:shd w:val="clear" w:color="auto" w:fill="FEDADD" w:themeFill="accent5"/>
            <w:vAlign w:val="center"/>
          </w:tcPr>
          <w:p w:rsidR="002755B8" w:rsidRPr="00F84239" w:rsidRDefault="00C903AA" w:rsidP="00B66DA7">
            <w:pPr>
              <w:spacing w:after="120" w:line="276" w:lineRule="auto"/>
              <w:rPr>
                <w:b/>
              </w:rPr>
            </w:pPr>
            <w:r>
              <w:rPr>
                <w:szCs w:val="22"/>
              </w:rPr>
              <w:t>Emergency Management</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shd w:val="clear" w:color="auto" w:fill="FEDADD"/>
            <w:vAlign w:val="center"/>
          </w:tcPr>
          <w:p w:rsidR="002755B8" w:rsidRPr="000C6213" w:rsidRDefault="000C6213" w:rsidP="00B66DA7">
            <w:pPr>
              <w:spacing w:after="120" w:line="276" w:lineRule="auto"/>
            </w:pPr>
            <w:r w:rsidRPr="000C6213">
              <w:t>QGEA</w:t>
            </w:r>
          </w:p>
        </w:tc>
        <w:tc>
          <w:tcPr>
            <w:tcW w:w="3742" w:type="dxa"/>
            <w:shd w:val="clear" w:color="auto" w:fill="FEDADD"/>
            <w:vAlign w:val="center"/>
          </w:tcPr>
          <w:p w:rsidR="002755B8" w:rsidRPr="00F84239" w:rsidRDefault="000C6213" w:rsidP="00B66DA7">
            <w:pPr>
              <w:spacing w:after="120" w:line="276" w:lineRule="auto"/>
              <w:rPr>
                <w:b/>
              </w:rPr>
            </w:pPr>
            <w:r>
              <w:t>Queensland Government Enterprise Architecture</w:t>
            </w:r>
          </w:p>
        </w:tc>
      </w:tr>
      <w:tr w:rsidR="002755B8" w:rsidRPr="00F84239" w:rsidTr="002335C3">
        <w:tc>
          <w:tcPr>
            <w:tcW w:w="1134" w:type="dxa"/>
            <w:vAlign w:val="center"/>
          </w:tcPr>
          <w:p w:rsidR="002755B8" w:rsidRPr="000C6213" w:rsidRDefault="003E059D" w:rsidP="00B66DA7">
            <w:pPr>
              <w:spacing w:after="120" w:line="276" w:lineRule="auto"/>
              <w:rPr>
                <w:b/>
              </w:rPr>
            </w:pPr>
            <w:r w:rsidRPr="000C6213">
              <w:rPr>
                <w:szCs w:val="22"/>
              </w:rPr>
              <w:t>FPMS</w:t>
            </w:r>
          </w:p>
        </w:tc>
        <w:tc>
          <w:tcPr>
            <w:tcW w:w="3742" w:type="dxa"/>
            <w:vAlign w:val="center"/>
          </w:tcPr>
          <w:p w:rsidR="002755B8" w:rsidRPr="00F84239" w:rsidRDefault="003E059D" w:rsidP="00B66DA7">
            <w:pPr>
              <w:spacing w:after="120" w:line="276" w:lineRule="auto"/>
              <w:rPr>
                <w:b/>
              </w:rPr>
            </w:pPr>
            <w:r w:rsidRPr="00D13FD3">
              <w:rPr>
                <w:i/>
                <w:szCs w:val="22"/>
              </w:rPr>
              <w:t>Financial and Performance Management Standard 2009</w:t>
            </w:r>
          </w:p>
        </w:tc>
        <w:tc>
          <w:tcPr>
            <w:tcW w:w="495" w:type="dxa"/>
            <w:shd w:val="clear" w:color="auto" w:fill="auto"/>
            <w:vAlign w:val="center"/>
          </w:tcPr>
          <w:p w:rsidR="002755B8" w:rsidRPr="00F84239" w:rsidRDefault="002755B8" w:rsidP="00B66DA7">
            <w:pPr>
              <w:spacing w:after="120" w:line="276" w:lineRule="auto"/>
              <w:rPr>
                <w:b/>
              </w:rPr>
            </w:pPr>
          </w:p>
        </w:tc>
        <w:tc>
          <w:tcPr>
            <w:tcW w:w="1134" w:type="dxa"/>
            <w:vAlign w:val="center"/>
          </w:tcPr>
          <w:p w:rsidR="002755B8" w:rsidRPr="00F84239" w:rsidRDefault="00C903AA" w:rsidP="00B66DA7">
            <w:pPr>
              <w:spacing w:after="120" w:line="276" w:lineRule="auto"/>
              <w:rPr>
                <w:b/>
              </w:rPr>
            </w:pPr>
            <w:r w:rsidRPr="00924ECD">
              <w:rPr>
                <w:szCs w:val="22"/>
              </w:rPr>
              <w:t>QPS</w:t>
            </w:r>
          </w:p>
        </w:tc>
        <w:tc>
          <w:tcPr>
            <w:tcW w:w="3742" w:type="dxa"/>
            <w:vAlign w:val="center"/>
          </w:tcPr>
          <w:p w:rsidR="002755B8" w:rsidRPr="00F84239" w:rsidRDefault="00C903AA" w:rsidP="00B66DA7">
            <w:pPr>
              <w:spacing w:after="120" w:line="276" w:lineRule="auto"/>
              <w:rPr>
                <w:b/>
              </w:rPr>
            </w:pPr>
            <w:r w:rsidRPr="00924ECD">
              <w:rPr>
                <w:szCs w:val="22"/>
              </w:rPr>
              <w:t>Queensland Police Service</w:t>
            </w:r>
          </w:p>
        </w:tc>
      </w:tr>
      <w:tr w:rsidR="00C903AA" w:rsidRPr="00F84239" w:rsidTr="00C60996">
        <w:tc>
          <w:tcPr>
            <w:tcW w:w="1134" w:type="dxa"/>
            <w:shd w:val="clear" w:color="auto" w:fill="FEDADD" w:themeFill="accent5"/>
            <w:vAlign w:val="center"/>
          </w:tcPr>
          <w:p w:rsidR="00C903AA" w:rsidRPr="000C6213" w:rsidRDefault="003E059D" w:rsidP="00BD394B">
            <w:pPr>
              <w:spacing w:after="120" w:line="276" w:lineRule="auto"/>
              <w:rPr>
                <w:b/>
              </w:rPr>
            </w:pPr>
            <w:r>
              <w:rPr>
                <w:szCs w:val="22"/>
              </w:rPr>
              <w:t>HCM</w:t>
            </w:r>
          </w:p>
        </w:tc>
        <w:tc>
          <w:tcPr>
            <w:tcW w:w="3742" w:type="dxa"/>
            <w:shd w:val="clear" w:color="auto" w:fill="FEDADD" w:themeFill="accent5"/>
            <w:vAlign w:val="center"/>
          </w:tcPr>
          <w:p w:rsidR="00C903AA" w:rsidRPr="00F84239" w:rsidRDefault="003E059D" w:rsidP="00BD394B">
            <w:pPr>
              <w:spacing w:after="120" w:line="276" w:lineRule="auto"/>
              <w:rPr>
                <w:b/>
              </w:rPr>
            </w:pPr>
            <w:r>
              <w:rPr>
                <w:szCs w:val="22"/>
              </w:rPr>
              <w:t>Human Capital Management</w:t>
            </w:r>
          </w:p>
        </w:tc>
        <w:tc>
          <w:tcPr>
            <w:tcW w:w="495" w:type="dxa"/>
            <w:shd w:val="clear" w:color="auto" w:fill="auto"/>
            <w:vAlign w:val="center"/>
          </w:tcPr>
          <w:p w:rsidR="00C903AA" w:rsidRPr="00F84239" w:rsidRDefault="00C903AA" w:rsidP="00BD394B">
            <w:pPr>
              <w:spacing w:after="120" w:line="276" w:lineRule="auto"/>
              <w:rPr>
                <w:b/>
              </w:rPr>
            </w:pPr>
          </w:p>
        </w:tc>
        <w:tc>
          <w:tcPr>
            <w:tcW w:w="1134" w:type="dxa"/>
            <w:shd w:val="clear" w:color="auto" w:fill="FEDADD" w:themeFill="accent5"/>
            <w:vAlign w:val="center"/>
          </w:tcPr>
          <w:p w:rsidR="00C903AA" w:rsidRPr="00F84239" w:rsidRDefault="00C903AA" w:rsidP="00BD394B">
            <w:pPr>
              <w:spacing w:after="120" w:line="276" w:lineRule="auto"/>
              <w:rPr>
                <w:b/>
              </w:rPr>
            </w:pPr>
            <w:r>
              <w:rPr>
                <w:szCs w:val="22"/>
              </w:rPr>
              <w:t>SDCC</w:t>
            </w:r>
          </w:p>
        </w:tc>
        <w:tc>
          <w:tcPr>
            <w:tcW w:w="3742" w:type="dxa"/>
            <w:shd w:val="clear" w:color="auto" w:fill="FEDADD" w:themeFill="accent5"/>
            <w:vAlign w:val="center"/>
          </w:tcPr>
          <w:p w:rsidR="00C903AA" w:rsidRPr="00F84239" w:rsidRDefault="00C903AA" w:rsidP="00BD394B">
            <w:pPr>
              <w:spacing w:after="120" w:line="276" w:lineRule="auto"/>
              <w:rPr>
                <w:b/>
              </w:rPr>
            </w:pPr>
            <w:r>
              <w:rPr>
                <w:szCs w:val="22"/>
              </w:rPr>
              <w:t>State Disaster Coordination Centre</w:t>
            </w:r>
          </w:p>
        </w:tc>
      </w:tr>
      <w:tr w:rsidR="000C6213" w:rsidRPr="00F84239" w:rsidTr="002335C3">
        <w:tc>
          <w:tcPr>
            <w:tcW w:w="1134" w:type="dxa"/>
            <w:shd w:val="clear" w:color="auto" w:fill="auto"/>
            <w:vAlign w:val="center"/>
          </w:tcPr>
          <w:p w:rsidR="000C6213" w:rsidRPr="000C6213" w:rsidRDefault="000C6213" w:rsidP="00BD394B">
            <w:pPr>
              <w:spacing w:line="276" w:lineRule="auto"/>
              <w:rPr>
                <w:szCs w:val="22"/>
              </w:rPr>
            </w:pPr>
          </w:p>
        </w:tc>
        <w:tc>
          <w:tcPr>
            <w:tcW w:w="3742" w:type="dxa"/>
            <w:shd w:val="clear" w:color="auto" w:fill="auto"/>
            <w:vAlign w:val="center"/>
          </w:tcPr>
          <w:p w:rsidR="000C6213" w:rsidRPr="00D13FD3" w:rsidRDefault="000C6213" w:rsidP="00BD394B">
            <w:pPr>
              <w:spacing w:line="276" w:lineRule="auto"/>
              <w:rPr>
                <w:i/>
                <w:szCs w:val="22"/>
              </w:rPr>
            </w:pPr>
          </w:p>
        </w:tc>
        <w:tc>
          <w:tcPr>
            <w:tcW w:w="495" w:type="dxa"/>
            <w:shd w:val="clear" w:color="auto" w:fill="auto"/>
            <w:vAlign w:val="center"/>
          </w:tcPr>
          <w:p w:rsidR="000C6213" w:rsidRPr="00F84239" w:rsidRDefault="000C6213" w:rsidP="00BD394B">
            <w:pPr>
              <w:spacing w:line="276" w:lineRule="auto"/>
              <w:rPr>
                <w:b/>
              </w:rPr>
            </w:pPr>
          </w:p>
        </w:tc>
        <w:tc>
          <w:tcPr>
            <w:tcW w:w="1134" w:type="dxa"/>
            <w:shd w:val="clear" w:color="auto" w:fill="auto"/>
            <w:vAlign w:val="center"/>
          </w:tcPr>
          <w:p w:rsidR="000C6213" w:rsidRDefault="000C6213" w:rsidP="00BD394B">
            <w:pPr>
              <w:spacing w:line="276" w:lineRule="auto"/>
              <w:rPr>
                <w:szCs w:val="22"/>
              </w:rPr>
            </w:pPr>
          </w:p>
        </w:tc>
        <w:tc>
          <w:tcPr>
            <w:tcW w:w="3742" w:type="dxa"/>
            <w:shd w:val="clear" w:color="auto" w:fill="auto"/>
            <w:vAlign w:val="center"/>
          </w:tcPr>
          <w:p w:rsidR="000C6213" w:rsidRDefault="000C6213" w:rsidP="00BD394B">
            <w:pPr>
              <w:spacing w:line="276" w:lineRule="auto"/>
              <w:rPr>
                <w:szCs w:val="22"/>
              </w:rPr>
            </w:pPr>
          </w:p>
        </w:tc>
      </w:tr>
    </w:tbl>
    <w:p w:rsidR="002755B8" w:rsidRDefault="002755B8" w:rsidP="00CD3A68">
      <w:pPr>
        <w:pStyle w:val="Default"/>
        <w:tabs>
          <w:tab w:val="left" w:pos="851"/>
        </w:tabs>
        <w:rPr>
          <w:highlight w:val="yellow"/>
          <w:u w:val="none"/>
        </w:rPr>
      </w:pPr>
    </w:p>
    <w:p w:rsidR="00C903AA" w:rsidRDefault="009707A7" w:rsidP="00677864">
      <w:pPr>
        <w:pStyle w:val="Heading2"/>
      </w:pPr>
      <w:r>
        <w:br w:type="page"/>
      </w:r>
      <w:bookmarkStart w:id="281" w:name="_Toc460406698"/>
      <w:bookmarkStart w:id="282" w:name="_Toc460406848"/>
      <w:bookmarkStart w:id="283" w:name="_Toc460406884"/>
      <w:bookmarkStart w:id="284" w:name="_Toc460406963"/>
      <w:bookmarkStart w:id="285" w:name="_Toc460407077"/>
      <w:bookmarkStart w:id="286" w:name="_Toc460487980"/>
      <w:r w:rsidR="00BD394B">
        <w:lastRenderedPageBreak/>
        <w:t>Glossary</w:t>
      </w:r>
      <w:bookmarkEnd w:id="281"/>
      <w:bookmarkEnd w:id="282"/>
      <w:bookmarkEnd w:id="283"/>
      <w:bookmarkEnd w:id="284"/>
      <w:bookmarkEnd w:id="285"/>
      <w:bookmarkEnd w:id="286"/>
    </w:p>
    <w:tbl>
      <w:tblPr>
        <w:tblStyle w:val="TableGrid"/>
        <w:tblpPr w:leftFromText="180" w:rightFromText="180"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D394B" w:rsidRPr="00C903AA" w:rsidTr="00677864">
        <w:tc>
          <w:tcPr>
            <w:tcW w:w="9972" w:type="dxa"/>
            <w:shd w:val="clear" w:color="auto" w:fill="FEDADD"/>
          </w:tcPr>
          <w:p w:rsidR="00C60996" w:rsidRDefault="00C60996" w:rsidP="00BD394B">
            <w:pPr>
              <w:pStyle w:val="Default"/>
              <w:tabs>
                <w:tab w:val="left" w:pos="851"/>
              </w:tabs>
              <w:rPr>
                <w:b/>
                <w:sz w:val="22"/>
                <w:szCs w:val="22"/>
                <w:u w:val="none"/>
              </w:rPr>
            </w:pPr>
          </w:p>
          <w:p w:rsidR="00BD394B" w:rsidRPr="00BD394B" w:rsidRDefault="00BD394B" w:rsidP="00BD394B">
            <w:pPr>
              <w:pStyle w:val="Default"/>
              <w:tabs>
                <w:tab w:val="left" w:pos="851"/>
              </w:tabs>
              <w:rPr>
                <w:b/>
                <w:sz w:val="22"/>
                <w:szCs w:val="22"/>
                <w:u w:val="none"/>
              </w:rPr>
            </w:pPr>
            <w:r w:rsidRPr="00BD394B">
              <w:rPr>
                <w:b/>
                <w:sz w:val="22"/>
                <w:szCs w:val="22"/>
                <w:u w:val="none"/>
              </w:rPr>
              <w:t>Standard for Disaster Management in Queensland (the Standard)</w:t>
            </w:r>
          </w:p>
          <w:p w:rsidR="00BD394B" w:rsidRPr="00C903AA" w:rsidRDefault="00BD394B" w:rsidP="00BD394B">
            <w:pPr>
              <w:pStyle w:val="Default"/>
              <w:tabs>
                <w:tab w:val="left" w:pos="851"/>
              </w:tabs>
              <w:rPr>
                <w:sz w:val="22"/>
                <w:szCs w:val="22"/>
                <w:u w:val="none"/>
              </w:rPr>
            </w:pPr>
          </w:p>
          <w:p w:rsidR="00BD394B" w:rsidRPr="00C903AA" w:rsidRDefault="00BD394B" w:rsidP="00BD394B">
            <w:pPr>
              <w:pStyle w:val="Default"/>
              <w:tabs>
                <w:tab w:val="left" w:pos="851"/>
              </w:tabs>
              <w:rPr>
                <w:sz w:val="22"/>
                <w:szCs w:val="22"/>
                <w:u w:val="none"/>
              </w:rPr>
            </w:pPr>
            <w:r w:rsidRPr="00C903AA">
              <w:rPr>
                <w:sz w:val="22"/>
                <w:szCs w:val="22"/>
                <w:u w:val="none"/>
              </w:rPr>
              <w:t>The Standard forms part of the Emergency Management Assurance Framework. The Standard establishes the performance requirements for all entities involved in disaster management and forms the basis of Assurance Activities undertaken by the Office of</w:t>
            </w:r>
            <w:r>
              <w:rPr>
                <w:sz w:val="22"/>
                <w:szCs w:val="22"/>
                <w:u w:val="none"/>
              </w:rPr>
              <w:t xml:space="preserve"> the </w:t>
            </w:r>
            <w:r w:rsidRPr="00C903AA">
              <w:rPr>
                <w:sz w:val="22"/>
                <w:szCs w:val="22"/>
                <w:u w:val="none"/>
              </w:rPr>
              <w:t>IGEM.</w:t>
            </w:r>
          </w:p>
          <w:p w:rsidR="00BD394B" w:rsidRPr="00C903AA" w:rsidRDefault="00BD394B" w:rsidP="00BD394B">
            <w:pPr>
              <w:pStyle w:val="Default"/>
              <w:tabs>
                <w:tab w:val="left" w:pos="851"/>
              </w:tabs>
              <w:rPr>
                <w:sz w:val="22"/>
                <w:szCs w:val="22"/>
                <w:u w:val="none"/>
              </w:rPr>
            </w:pPr>
          </w:p>
        </w:tc>
      </w:tr>
      <w:tr w:rsidR="00BD394B" w:rsidRPr="00C903AA" w:rsidTr="00677864">
        <w:tc>
          <w:tcPr>
            <w:tcW w:w="9972" w:type="dxa"/>
            <w:shd w:val="clear" w:color="auto" w:fill="auto"/>
          </w:tcPr>
          <w:p w:rsidR="00C60996" w:rsidRDefault="00C60996" w:rsidP="00BD394B">
            <w:pPr>
              <w:pStyle w:val="Default"/>
              <w:tabs>
                <w:tab w:val="left" w:pos="851"/>
              </w:tabs>
              <w:rPr>
                <w:b/>
                <w:sz w:val="22"/>
                <w:szCs w:val="22"/>
                <w:u w:val="none"/>
              </w:rPr>
            </w:pPr>
          </w:p>
          <w:p w:rsidR="00BD394B" w:rsidRPr="00BD394B" w:rsidRDefault="00BD394B" w:rsidP="00BD394B">
            <w:pPr>
              <w:pStyle w:val="Default"/>
              <w:tabs>
                <w:tab w:val="left" w:pos="851"/>
              </w:tabs>
              <w:rPr>
                <w:b/>
                <w:sz w:val="22"/>
                <w:szCs w:val="22"/>
                <w:u w:val="none"/>
              </w:rPr>
            </w:pPr>
            <w:r w:rsidRPr="00BD394B">
              <w:rPr>
                <w:b/>
                <w:sz w:val="22"/>
                <w:szCs w:val="22"/>
                <w:u w:val="none"/>
              </w:rPr>
              <w:t>Emergency Management Assurance Framework</w:t>
            </w:r>
          </w:p>
          <w:p w:rsidR="00BD394B" w:rsidRPr="00C903AA" w:rsidRDefault="00BD394B" w:rsidP="00BD394B">
            <w:pPr>
              <w:pStyle w:val="Default"/>
              <w:tabs>
                <w:tab w:val="left" w:pos="851"/>
              </w:tabs>
              <w:rPr>
                <w:sz w:val="22"/>
                <w:szCs w:val="22"/>
                <w:u w:val="none"/>
              </w:rPr>
            </w:pPr>
          </w:p>
          <w:p w:rsidR="00BD394B" w:rsidRPr="00C903AA" w:rsidRDefault="00BD394B" w:rsidP="00BD394B">
            <w:pPr>
              <w:pStyle w:val="Default"/>
              <w:tabs>
                <w:tab w:val="left" w:pos="851"/>
              </w:tabs>
              <w:rPr>
                <w:sz w:val="22"/>
                <w:szCs w:val="22"/>
                <w:u w:val="none"/>
              </w:rPr>
            </w:pPr>
            <w:r w:rsidRPr="00C903AA">
              <w:rPr>
                <w:sz w:val="22"/>
                <w:szCs w:val="22"/>
                <w:u w:val="none"/>
              </w:rPr>
              <w:t>The Framework supports all levels of Queensland’s disaster management arrangements</w:t>
            </w:r>
            <w:r w:rsidRPr="00C903AA">
              <w:rPr>
                <w:spacing w:val="-28"/>
                <w:sz w:val="22"/>
                <w:szCs w:val="22"/>
                <w:u w:val="none"/>
              </w:rPr>
              <w:t xml:space="preserve"> </w:t>
            </w:r>
            <w:r w:rsidRPr="00C903AA">
              <w:rPr>
                <w:sz w:val="22"/>
                <w:szCs w:val="22"/>
                <w:u w:val="none"/>
              </w:rPr>
              <w:t>to continually improve disaster management performance. It is based on existing legislative responsibilities as prescribed in the</w:t>
            </w:r>
            <w:r w:rsidRPr="00C903AA">
              <w:rPr>
                <w:spacing w:val="-29"/>
                <w:sz w:val="22"/>
                <w:szCs w:val="22"/>
                <w:u w:val="none"/>
              </w:rPr>
              <w:t xml:space="preserve"> </w:t>
            </w:r>
            <w:r w:rsidRPr="00C903AA">
              <w:rPr>
                <w:i/>
                <w:sz w:val="22"/>
                <w:szCs w:val="22"/>
                <w:u w:val="none"/>
              </w:rPr>
              <w:t xml:space="preserve">Disaster Management Act 2003 </w:t>
            </w:r>
            <w:r w:rsidRPr="00C903AA">
              <w:rPr>
                <w:sz w:val="22"/>
                <w:szCs w:val="22"/>
                <w:u w:val="none"/>
              </w:rPr>
              <w:t>and consists of three parts: Principles; the Standard for</w:t>
            </w:r>
            <w:r w:rsidRPr="00C903AA">
              <w:rPr>
                <w:spacing w:val="-18"/>
                <w:sz w:val="22"/>
                <w:szCs w:val="22"/>
                <w:u w:val="none"/>
              </w:rPr>
              <w:t xml:space="preserve"> </w:t>
            </w:r>
            <w:r w:rsidRPr="00C903AA">
              <w:rPr>
                <w:sz w:val="22"/>
                <w:szCs w:val="22"/>
                <w:u w:val="none"/>
              </w:rPr>
              <w:t>Disaster Management in Queensland (the Standard); and Assurance</w:t>
            </w:r>
            <w:r w:rsidRPr="00C903AA">
              <w:rPr>
                <w:spacing w:val="-22"/>
                <w:sz w:val="22"/>
                <w:szCs w:val="22"/>
                <w:u w:val="none"/>
              </w:rPr>
              <w:t xml:space="preserve"> </w:t>
            </w:r>
            <w:r w:rsidRPr="00C903AA">
              <w:rPr>
                <w:sz w:val="22"/>
                <w:szCs w:val="22"/>
                <w:u w:val="none"/>
              </w:rPr>
              <w:t>Activities. It describes the attributes of effective disaster management, outlines</w:t>
            </w:r>
            <w:r w:rsidRPr="00C903AA">
              <w:rPr>
                <w:spacing w:val="-10"/>
                <w:sz w:val="22"/>
                <w:szCs w:val="22"/>
                <w:u w:val="none"/>
              </w:rPr>
              <w:t xml:space="preserve"> </w:t>
            </w:r>
            <w:r w:rsidRPr="00C903AA">
              <w:rPr>
                <w:sz w:val="22"/>
                <w:szCs w:val="22"/>
                <w:u w:val="none"/>
              </w:rPr>
              <w:t>to stakeholders the required outcomes against the Standard and provides indicators that will</w:t>
            </w:r>
            <w:r w:rsidRPr="00C903AA">
              <w:rPr>
                <w:spacing w:val="-32"/>
                <w:sz w:val="22"/>
                <w:szCs w:val="22"/>
                <w:u w:val="none"/>
              </w:rPr>
              <w:t xml:space="preserve"> </w:t>
            </w:r>
            <w:r w:rsidRPr="00C903AA">
              <w:rPr>
                <w:sz w:val="22"/>
                <w:szCs w:val="22"/>
                <w:u w:val="none"/>
              </w:rPr>
              <w:t>contribute to the likelihood of disaster management entities achieving these</w:t>
            </w:r>
            <w:r w:rsidRPr="00C903AA">
              <w:rPr>
                <w:spacing w:val="-27"/>
                <w:sz w:val="22"/>
                <w:szCs w:val="22"/>
                <w:u w:val="none"/>
              </w:rPr>
              <w:t xml:space="preserve"> </w:t>
            </w:r>
            <w:r w:rsidRPr="00C903AA">
              <w:rPr>
                <w:sz w:val="22"/>
                <w:szCs w:val="22"/>
                <w:u w:val="none"/>
              </w:rPr>
              <w:t>outcomes.</w:t>
            </w:r>
          </w:p>
          <w:p w:rsidR="00BD394B" w:rsidRPr="00C903AA" w:rsidRDefault="00BD394B" w:rsidP="00BD394B">
            <w:pPr>
              <w:pStyle w:val="Default"/>
              <w:tabs>
                <w:tab w:val="left" w:pos="851"/>
              </w:tabs>
              <w:rPr>
                <w:sz w:val="22"/>
                <w:szCs w:val="22"/>
                <w:u w:val="none"/>
              </w:rPr>
            </w:pPr>
          </w:p>
        </w:tc>
      </w:tr>
    </w:tbl>
    <w:p w:rsidR="00835CC4" w:rsidRPr="00C951DB" w:rsidRDefault="00180613" w:rsidP="00CD3A68">
      <w:pPr>
        <w:pStyle w:val="Default"/>
        <w:tabs>
          <w:tab w:val="left" w:pos="851"/>
        </w:tabs>
        <w:rPr>
          <w:u w:val="none"/>
        </w:rPr>
      </w:pPr>
      <w:r w:rsidRPr="00C951DB">
        <w:rPr>
          <w:u w:val="none"/>
        </w:rPr>
        <w:br w:type="page"/>
      </w:r>
    </w:p>
    <w:tbl>
      <w:tblPr>
        <w:tblStyle w:val="FinancialTable"/>
        <w:tblpPr w:leftFromText="180" w:rightFromText="180" w:vertAnchor="text" w:horzAnchor="margin" w:tblpY="945"/>
        <w:tblW w:w="10075" w:type="dxa"/>
        <w:tblBorders>
          <w:top w:val="single" w:sz="8" w:space="0" w:color="670022" w:themeColor="accent1" w:themeShade="BF"/>
          <w:bottom w:val="single" w:sz="8" w:space="0" w:color="670022" w:themeColor="accent1" w:themeShade="BF"/>
          <w:insideH w:val="single" w:sz="8" w:space="0" w:color="670022" w:themeColor="accent1" w:themeShade="BF"/>
        </w:tblBorders>
        <w:tblLayout w:type="fixed"/>
        <w:tblLook w:val="01E0" w:firstRow="1" w:lastRow="1" w:firstColumn="1" w:lastColumn="1" w:noHBand="0" w:noVBand="0"/>
      </w:tblPr>
      <w:tblGrid>
        <w:gridCol w:w="1702"/>
        <w:gridCol w:w="4120"/>
        <w:gridCol w:w="2835"/>
        <w:gridCol w:w="1418"/>
      </w:tblGrid>
      <w:tr w:rsidR="00761D23" w:rsidRPr="00341581" w:rsidTr="00761D23">
        <w:trPr>
          <w:cnfStyle w:val="100000000000" w:firstRow="1" w:lastRow="0" w:firstColumn="0" w:lastColumn="0" w:oddVBand="0" w:evenVBand="0" w:oddHBand="0" w:evenHBand="0" w:firstRowFirstColumn="0" w:firstRowLastColumn="0" w:lastRowFirstColumn="0" w:lastRowLastColumn="0"/>
          <w:trHeight w:hRule="exact" w:val="731"/>
          <w:tblHeader/>
        </w:trPr>
        <w:tc>
          <w:tcPr>
            <w:cnfStyle w:val="001000000000" w:firstRow="0" w:lastRow="0" w:firstColumn="1" w:lastColumn="0" w:oddVBand="0" w:evenVBand="0" w:oddHBand="0" w:evenHBand="0" w:firstRowFirstColumn="0" w:firstRowLastColumn="0" w:lastRowFirstColumn="0" w:lastRowLastColumn="0"/>
            <w:tcW w:w="5822" w:type="dxa"/>
            <w:gridSpan w:val="2"/>
            <w:tcBorders>
              <w:top w:val="single" w:sz="8" w:space="0" w:color="8A002E"/>
              <w:left w:val="single" w:sz="8" w:space="0" w:color="8A002E"/>
              <w:bottom w:val="single" w:sz="8" w:space="0" w:color="8A002E"/>
            </w:tcBorders>
            <w:shd w:val="clear" w:color="auto" w:fill="AB054C"/>
          </w:tcPr>
          <w:p w:rsidR="00761D23" w:rsidRPr="00CC416C" w:rsidRDefault="00761D23" w:rsidP="00761D23">
            <w:pPr>
              <w:widowControl w:val="0"/>
              <w:spacing w:before="0"/>
              <w:rPr>
                <w:rFonts w:eastAsia="Arial"/>
                <w:b/>
                <w:color w:val="FFFFFF" w:themeColor="background1"/>
                <w:sz w:val="24"/>
                <w:szCs w:val="18"/>
              </w:rPr>
            </w:pPr>
            <w:r w:rsidRPr="00CC416C">
              <w:rPr>
                <w:rFonts w:eastAsia="Calibri"/>
                <w:b/>
                <w:caps w:val="0"/>
                <w:color w:val="FFFFFF" w:themeColor="background1"/>
                <w:sz w:val="24"/>
                <w:szCs w:val="22"/>
              </w:rPr>
              <w:lastRenderedPageBreak/>
              <w:t>Summary of</w:t>
            </w:r>
            <w:r w:rsidRPr="00CC416C">
              <w:rPr>
                <w:rFonts w:eastAsia="Calibri"/>
                <w:b/>
                <w:color w:val="FFFFFF" w:themeColor="background1"/>
                <w:spacing w:val="-9"/>
                <w:sz w:val="24"/>
                <w:szCs w:val="22"/>
              </w:rPr>
              <w:t xml:space="preserve"> </w:t>
            </w:r>
            <w:r w:rsidRPr="00CC416C">
              <w:rPr>
                <w:rFonts w:eastAsia="Calibri"/>
                <w:b/>
                <w:caps w:val="0"/>
                <w:color w:val="FFFFFF" w:themeColor="background1"/>
                <w:sz w:val="24"/>
                <w:szCs w:val="22"/>
              </w:rPr>
              <w:t>requirement</w:t>
            </w:r>
          </w:p>
        </w:tc>
        <w:tc>
          <w:tcPr>
            <w:tcW w:w="2835" w:type="dxa"/>
            <w:tcBorders>
              <w:top w:val="single" w:sz="8" w:space="0" w:color="8A002E"/>
              <w:bottom w:val="single" w:sz="8" w:space="0" w:color="8A002E"/>
            </w:tcBorders>
            <w:shd w:val="clear" w:color="auto" w:fill="AB054C"/>
          </w:tcPr>
          <w:p w:rsidR="00761D23" w:rsidRPr="00CC416C" w:rsidRDefault="00761D23" w:rsidP="00761D23">
            <w:pPr>
              <w:widowControl w:val="0"/>
              <w:spacing w:before="0"/>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 w:val="24"/>
                <w:szCs w:val="18"/>
              </w:rPr>
            </w:pPr>
            <w:r w:rsidRPr="00CC416C">
              <w:rPr>
                <w:rFonts w:eastAsia="Calibri"/>
                <w:b/>
                <w:caps w:val="0"/>
                <w:color w:val="FFFFFF" w:themeColor="background1"/>
                <w:sz w:val="24"/>
                <w:szCs w:val="22"/>
              </w:rPr>
              <w:t>Basis for</w:t>
            </w:r>
            <w:r w:rsidRPr="00CC416C">
              <w:rPr>
                <w:rFonts w:eastAsia="Calibri"/>
                <w:b/>
                <w:color w:val="FFFFFF" w:themeColor="background1"/>
                <w:spacing w:val="-7"/>
                <w:sz w:val="24"/>
                <w:szCs w:val="22"/>
              </w:rPr>
              <w:t xml:space="preserve"> </w:t>
            </w:r>
            <w:r w:rsidRPr="00CC416C">
              <w:rPr>
                <w:rFonts w:eastAsia="Calibri"/>
                <w:b/>
                <w:caps w:val="0"/>
                <w:color w:val="FFFFFF" w:themeColor="background1"/>
                <w:sz w:val="24"/>
                <w:szCs w:val="22"/>
              </w:rPr>
              <w:t>requirement</w:t>
            </w:r>
          </w:p>
        </w:tc>
        <w:tc>
          <w:tcPr>
            <w:tcW w:w="1418" w:type="dxa"/>
            <w:tcBorders>
              <w:top w:val="single" w:sz="8" w:space="0" w:color="8A002E"/>
              <w:bottom w:val="single" w:sz="8" w:space="0" w:color="8A002E"/>
              <w:right w:val="single" w:sz="8" w:space="0" w:color="8A002E"/>
            </w:tcBorders>
            <w:shd w:val="clear" w:color="auto" w:fill="AB054C"/>
          </w:tcPr>
          <w:p w:rsidR="00761D23" w:rsidRPr="00CC416C" w:rsidRDefault="00761D23" w:rsidP="00761D23">
            <w:pPr>
              <w:widowControl w:val="0"/>
              <w:spacing w:before="0"/>
              <w:ind w:right="130"/>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 w:val="24"/>
                <w:szCs w:val="18"/>
              </w:rPr>
            </w:pPr>
            <w:r>
              <w:rPr>
                <w:rFonts w:eastAsia="Calibri"/>
                <w:b/>
                <w:caps w:val="0"/>
                <w:color w:val="FFFFFF" w:themeColor="background1"/>
                <w:sz w:val="24"/>
                <w:szCs w:val="22"/>
              </w:rPr>
              <w:t>P</w:t>
            </w:r>
            <w:r w:rsidRPr="00CC416C">
              <w:rPr>
                <w:rFonts w:eastAsia="Calibri"/>
                <w:b/>
                <w:caps w:val="0"/>
                <w:color w:val="FFFFFF" w:themeColor="background1"/>
                <w:sz w:val="24"/>
                <w:szCs w:val="22"/>
              </w:rPr>
              <w:t>age reference</w:t>
            </w:r>
          </w:p>
        </w:tc>
      </w:tr>
      <w:tr w:rsidR="00761D23" w:rsidRPr="00341581" w:rsidTr="00761D23">
        <w:trPr>
          <w:trHeight w:hRule="exact" w:val="700"/>
        </w:trPr>
        <w:tc>
          <w:tcPr>
            <w:cnfStyle w:val="001000000000" w:firstRow="0" w:lastRow="0" w:firstColumn="1" w:lastColumn="0" w:oddVBand="0" w:evenVBand="0" w:oddHBand="0" w:evenHBand="0" w:firstRowFirstColumn="0" w:firstRowLastColumn="0" w:lastRowFirstColumn="0" w:lastRowLastColumn="0"/>
            <w:tcW w:w="1702" w:type="dxa"/>
            <w:tcBorders>
              <w:top w:val="single" w:sz="8" w:space="0" w:color="8A002E"/>
              <w:bottom w:val="single" w:sz="12" w:space="0" w:color="AB054C"/>
            </w:tcBorders>
          </w:tcPr>
          <w:p w:rsidR="00761D23" w:rsidRPr="00341581" w:rsidRDefault="00761D23" w:rsidP="00761D23">
            <w:pPr>
              <w:widowControl w:val="0"/>
              <w:spacing w:after="120"/>
              <w:ind w:left="103"/>
              <w:rPr>
                <w:rFonts w:eastAsia="Arial"/>
                <w:sz w:val="18"/>
                <w:szCs w:val="18"/>
              </w:rPr>
            </w:pPr>
            <w:r w:rsidRPr="00341581">
              <w:rPr>
                <w:rFonts w:eastAsia="Calibri"/>
                <w:sz w:val="18"/>
                <w:szCs w:val="22"/>
              </w:rPr>
              <w:t>Letter of compliance</w:t>
            </w:r>
          </w:p>
        </w:tc>
        <w:tc>
          <w:tcPr>
            <w:tcW w:w="4120" w:type="dxa"/>
            <w:tcBorders>
              <w:top w:val="single" w:sz="8" w:space="0" w:color="8A002E"/>
              <w:bottom w:val="single" w:sz="12"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A letter of compliance from</w:t>
            </w:r>
            <w:r w:rsidRPr="00341581">
              <w:rPr>
                <w:rFonts w:eastAsia="Calibri"/>
                <w:spacing w:val="-11"/>
                <w:sz w:val="18"/>
                <w:szCs w:val="22"/>
              </w:rPr>
              <w:t xml:space="preserve"> </w:t>
            </w:r>
            <w:r w:rsidRPr="00341581">
              <w:rPr>
                <w:rFonts w:eastAsia="Calibri"/>
                <w:sz w:val="18"/>
                <w:szCs w:val="22"/>
              </w:rPr>
              <w:t xml:space="preserve">the accountable officer </w:t>
            </w:r>
            <w:r>
              <w:rPr>
                <w:rFonts w:eastAsia="Calibri"/>
                <w:sz w:val="18"/>
                <w:szCs w:val="22"/>
              </w:rPr>
              <w:t>to the Minister</w:t>
            </w:r>
          </w:p>
        </w:tc>
        <w:tc>
          <w:tcPr>
            <w:tcW w:w="2835" w:type="dxa"/>
            <w:tcBorders>
              <w:top w:val="single" w:sz="8" w:space="0" w:color="8A002E"/>
              <w:bottom w:val="single" w:sz="12"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 xml:space="preserve">ARRs </w:t>
            </w:r>
            <w:r w:rsidRPr="00341581">
              <w:rPr>
                <w:rFonts w:eastAsia="Arial"/>
                <w:i/>
                <w:sz w:val="18"/>
                <w:szCs w:val="18"/>
              </w:rPr>
              <w:t xml:space="preserve">– </w:t>
            </w:r>
            <w:r w:rsidRPr="00341581">
              <w:rPr>
                <w:rFonts w:eastAsia="Arial"/>
                <w:sz w:val="18"/>
                <w:szCs w:val="18"/>
              </w:rPr>
              <w:t>section</w:t>
            </w:r>
            <w:r w:rsidRPr="00341581">
              <w:rPr>
                <w:rFonts w:eastAsia="Arial"/>
                <w:spacing w:val="-7"/>
                <w:sz w:val="18"/>
                <w:szCs w:val="18"/>
              </w:rPr>
              <w:t xml:space="preserve"> </w:t>
            </w:r>
            <w:r w:rsidRPr="00341581">
              <w:rPr>
                <w:rFonts w:eastAsia="Arial"/>
                <w:sz w:val="18"/>
                <w:szCs w:val="18"/>
              </w:rPr>
              <w:t>8</w:t>
            </w:r>
          </w:p>
        </w:tc>
        <w:tc>
          <w:tcPr>
            <w:tcW w:w="1418" w:type="dxa"/>
            <w:tcBorders>
              <w:top w:val="single" w:sz="8" w:space="0" w:color="8A002E"/>
              <w:bottom w:val="single" w:sz="12"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ii</w:t>
            </w:r>
          </w:p>
        </w:tc>
      </w:tr>
      <w:tr w:rsidR="00761D23" w:rsidRPr="00341581" w:rsidTr="00761D23">
        <w:trPr>
          <w:trHeight w:hRule="exact" w:val="749"/>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bottom w:val="single" w:sz="12" w:space="0" w:color="AB054C"/>
            </w:tcBorders>
          </w:tcPr>
          <w:p w:rsidR="00761D23" w:rsidRPr="00341581" w:rsidRDefault="00761D23" w:rsidP="00761D23">
            <w:pPr>
              <w:widowControl w:val="0"/>
              <w:spacing w:after="120"/>
              <w:ind w:left="103"/>
              <w:rPr>
                <w:rFonts w:eastAsia="Arial"/>
                <w:sz w:val="18"/>
                <w:szCs w:val="18"/>
              </w:rPr>
            </w:pPr>
            <w:r w:rsidRPr="00341581">
              <w:rPr>
                <w:rFonts w:eastAsia="Calibri"/>
                <w:sz w:val="18"/>
                <w:szCs w:val="22"/>
              </w:rPr>
              <w:t>Accessibility</w:t>
            </w:r>
          </w:p>
        </w:tc>
        <w:tc>
          <w:tcPr>
            <w:tcW w:w="4120" w:type="dxa"/>
            <w:tcBorders>
              <w:top w:val="single" w:sz="12"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Table of</w:t>
            </w:r>
            <w:r w:rsidRPr="00341581">
              <w:rPr>
                <w:rFonts w:eastAsia="Calibri"/>
                <w:spacing w:val="-2"/>
                <w:sz w:val="18"/>
                <w:szCs w:val="22"/>
              </w:rPr>
              <w:t xml:space="preserve"> </w:t>
            </w:r>
            <w:r w:rsidRPr="00341581">
              <w:rPr>
                <w:rFonts w:eastAsia="Calibri"/>
                <w:sz w:val="18"/>
                <w:szCs w:val="22"/>
              </w:rPr>
              <w:t>contents</w:t>
            </w:r>
          </w:p>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Acronyms</w:t>
            </w:r>
            <w:r w:rsidR="00B8361D">
              <w:rPr>
                <w:rFonts w:eastAsia="Calibri"/>
                <w:sz w:val="18"/>
                <w:szCs w:val="22"/>
              </w:rPr>
              <w:t xml:space="preserve"> and Glossary</w:t>
            </w:r>
          </w:p>
        </w:tc>
        <w:tc>
          <w:tcPr>
            <w:tcW w:w="2835" w:type="dxa"/>
            <w:tcBorders>
              <w:top w:val="single" w:sz="12"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10.1</w:t>
            </w:r>
          </w:p>
        </w:tc>
        <w:tc>
          <w:tcPr>
            <w:tcW w:w="1418" w:type="dxa"/>
            <w:tcBorders>
              <w:top w:val="single" w:sz="12" w:space="0" w:color="AB054C"/>
              <w:bottom w:val="single" w:sz="8" w:space="0" w:color="AB054C"/>
            </w:tcBorders>
          </w:tcPr>
          <w:p w:rsidR="007222C4" w:rsidRDefault="00B8361D" w:rsidP="007222C4">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1</w:t>
            </w:r>
          </w:p>
          <w:p w:rsidR="00761D23" w:rsidRPr="00B8361D" w:rsidRDefault="00B8361D" w:rsidP="007222C4">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63-64</w:t>
            </w:r>
          </w:p>
        </w:tc>
      </w:tr>
      <w:tr w:rsidR="00761D23" w:rsidRPr="00341581" w:rsidTr="00761D23">
        <w:trPr>
          <w:trHeight w:hRule="exact" w:val="430"/>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Public availability</w:t>
            </w:r>
          </w:p>
        </w:tc>
        <w:tc>
          <w:tcPr>
            <w:tcW w:w="2835" w:type="dxa"/>
            <w:tcBorders>
              <w:top w:val="single" w:sz="8"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10.2</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i</w:t>
            </w:r>
          </w:p>
        </w:tc>
      </w:tr>
      <w:tr w:rsidR="00761D23" w:rsidRPr="00341581" w:rsidTr="00761D23">
        <w:trPr>
          <w:trHeight w:hRule="exact" w:val="931"/>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Interpreter service</w:t>
            </w:r>
            <w:r w:rsidRPr="00341581">
              <w:rPr>
                <w:rFonts w:eastAsia="Calibri"/>
                <w:spacing w:val="-4"/>
                <w:sz w:val="18"/>
                <w:szCs w:val="22"/>
              </w:rPr>
              <w:t xml:space="preserve"> </w:t>
            </w:r>
            <w:r w:rsidRPr="00341581">
              <w:rPr>
                <w:rFonts w:eastAsia="Calibri"/>
                <w:sz w:val="18"/>
                <w:szCs w:val="22"/>
              </w:rPr>
              <w:t>statement</w:t>
            </w:r>
          </w:p>
        </w:tc>
        <w:tc>
          <w:tcPr>
            <w:tcW w:w="2835" w:type="dxa"/>
            <w:tcBorders>
              <w:top w:val="single" w:sz="8" w:space="0" w:color="AB054C"/>
              <w:bottom w:val="single" w:sz="8" w:space="0" w:color="AB054C"/>
            </w:tcBorders>
          </w:tcPr>
          <w:p w:rsidR="00761D23" w:rsidRDefault="00761D23" w:rsidP="00761D23">
            <w:pPr>
              <w:widowControl w:val="0"/>
              <w:spacing w:after="120"/>
              <w:ind w:left="103" w:right="505"/>
              <w:cnfStyle w:val="000000000000" w:firstRow="0" w:lastRow="0" w:firstColumn="0" w:lastColumn="0" w:oddVBand="0" w:evenVBand="0" w:oddHBand="0" w:evenHBand="0" w:firstRowFirstColumn="0" w:firstRowLastColumn="0" w:lastRowFirstColumn="0" w:lastRowLastColumn="0"/>
              <w:rPr>
                <w:rFonts w:eastAsia="Calibri"/>
                <w:i/>
                <w:sz w:val="18"/>
                <w:szCs w:val="22"/>
              </w:rPr>
            </w:pPr>
            <w:r w:rsidRPr="00341581">
              <w:rPr>
                <w:rFonts w:eastAsia="Calibri"/>
                <w:i/>
                <w:sz w:val="18"/>
                <w:szCs w:val="22"/>
              </w:rPr>
              <w:t>Queensland</w:t>
            </w:r>
            <w:r w:rsidRPr="00341581">
              <w:rPr>
                <w:rFonts w:eastAsia="Calibri"/>
                <w:i/>
                <w:spacing w:val="-5"/>
                <w:sz w:val="18"/>
                <w:szCs w:val="22"/>
              </w:rPr>
              <w:t xml:space="preserve"> </w:t>
            </w:r>
            <w:r w:rsidRPr="00341581">
              <w:rPr>
                <w:rFonts w:eastAsia="Calibri"/>
                <w:i/>
                <w:sz w:val="18"/>
                <w:szCs w:val="22"/>
              </w:rPr>
              <w:t>Government Language Services</w:t>
            </w:r>
            <w:r w:rsidRPr="00341581">
              <w:rPr>
                <w:rFonts w:eastAsia="Calibri"/>
                <w:i/>
                <w:spacing w:val="-11"/>
                <w:sz w:val="18"/>
                <w:szCs w:val="22"/>
              </w:rPr>
              <w:t xml:space="preserve"> </w:t>
            </w:r>
            <w:r w:rsidRPr="00341581">
              <w:rPr>
                <w:rFonts w:eastAsia="Calibri"/>
                <w:i/>
                <w:sz w:val="18"/>
                <w:szCs w:val="22"/>
              </w:rPr>
              <w:t>Policy</w:t>
            </w:r>
          </w:p>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10.3</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i</w:t>
            </w:r>
          </w:p>
        </w:tc>
      </w:tr>
      <w:tr w:rsidR="00761D23" w:rsidRPr="00341581" w:rsidTr="00761D23">
        <w:trPr>
          <w:trHeight w:hRule="exact" w:val="722"/>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Copyright</w:t>
            </w:r>
            <w:r w:rsidRPr="00341581">
              <w:rPr>
                <w:rFonts w:eastAsia="Calibri"/>
                <w:spacing w:val="-1"/>
                <w:sz w:val="18"/>
                <w:szCs w:val="22"/>
              </w:rPr>
              <w:t xml:space="preserve"> </w:t>
            </w:r>
            <w:r w:rsidRPr="00341581">
              <w:rPr>
                <w:rFonts w:eastAsia="Calibri"/>
                <w:sz w:val="18"/>
                <w:szCs w:val="22"/>
              </w:rPr>
              <w:t>notice</w:t>
            </w:r>
          </w:p>
        </w:tc>
        <w:tc>
          <w:tcPr>
            <w:tcW w:w="2835" w:type="dxa"/>
            <w:tcBorders>
              <w:top w:val="single" w:sz="8"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i/>
                <w:sz w:val="18"/>
                <w:szCs w:val="22"/>
              </w:rPr>
              <w:t>Copyright Act</w:t>
            </w:r>
            <w:r w:rsidRPr="00341581">
              <w:rPr>
                <w:rFonts w:eastAsia="Calibri"/>
                <w:i/>
                <w:spacing w:val="-6"/>
                <w:sz w:val="18"/>
                <w:szCs w:val="22"/>
              </w:rPr>
              <w:t xml:space="preserve"> </w:t>
            </w:r>
            <w:r w:rsidRPr="00341581">
              <w:rPr>
                <w:rFonts w:eastAsia="Calibri"/>
                <w:i/>
                <w:sz w:val="18"/>
                <w:szCs w:val="22"/>
              </w:rPr>
              <w:t>1968</w:t>
            </w:r>
          </w:p>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10.4</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i</w:t>
            </w:r>
          </w:p>
        </w:tc>
      </w:tr>
      <w:tr w:rsidR="00761D23" w:rsidRPr="00341581" w:rsidTr="00761D23">
        <w:trPr>
          <w:trHeight w:hRule="exact" w:val="725"/>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12"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Information Licensing</w:t>
            </w:r>
          </w:p>
        </w:tc>
        <w:tc>
          <w:tcPr>
            <w:tcW w:w="2835" w:type="dxa"/>
            <w:tcBorders>
              <w:top w:val="single" w:sz="8" w:space="0" w:color="AB054C"/>
              <w:bottom w:val="single" w:sz="12"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i/>
                <w:sz w:val="18"/>
                <w:szCs w:val="18"/>
              </w:rPr>
              <w:t>QGEA – Information</w:t>
            </w:r>
            <w:r w:rsidRPr="00341581">
              <w:rPr>
                <w:rFonts w:eastAsia="Arial"/>
                <w:i/>
                <w:spacing w:val="-9"/>
                <w:sz w:val="18"/>
                <w:szCs w:val="18"/>
              </w:rPr>
              <w:t xml:space="preserve"> </w:t>
            </w:r>
            <w:r w:rsidRPr="00341581">
              <w:rPr>
                <w:rFonts w:eastAsia="Arial"/>
                <w:i/>
                <w:sz w:val="18"/>
                <w:szCs w:val="18"/>
              </w:rPr>
              <w:t>Licensing</w:t>
            </w:r>
          </w:p>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10.5</w:t>
            </w:r>
          </w:p>
        </w:tc>
        <w:tc>
          <w:tcPr>
            <w:tcW w:w="1418" w:type="dxa"/>
            <w:tcBorders>
              <w:top w:val="single" w:sz="8" w:space="0" w:color="AB054C"/>
              <w:bottom w:val="single" w:sz="12"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i</w:t>
            </w:r>
          </w:p>
        </w:tc>
      </w:tr>
      <w:tr w:rsidR="00761D23" w:rsidRPr="00341581" w:rsidTr="00761D23">
        <w:trPr>
          <w:trHeight w:hRule="exact" w:val="494"/>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bottom w:val="single" w:sz="8" w:space="0" w:color="AB054C"/>
            </w:tcBorders>
          </w:tcPr>
          <w:p w:rsidR="00761D23" w:rsidRPr="00341581" w:rsidRDefault="00761D23" w:rsidP="00761D23">
            <w:pPr>
              <w:widowControl w:val="0"/>
              <w:spacing w:after="120"/>
              <w:ind w:left="103" w:right="142"/>
              <w:rPr>
                <w:rFonts w:eastAsia="Arial"/>
                <w:sz w:val="18"/>
                <w:szCs w:val="18"/>
              </w:rPr>
            </w:pPr>
            <w:r w:rsidRPr="00341581">
              <w:rPr>
                <w:rFonts w:eastAsia="Calibri"/>
                <w:sz w:val="18"/>
                <w:szCs w:val="22"/>
              </w:rPr>
              <w:t>General information</w:t>
            </w:r>
          </w:p>
        </w:tc>
        <w:tc>
          <w:tcPr>
            <w:tcW w:w="4120" w:type="dxa"/>
            <w:tcBorders>
              <w:top w:val="single" w:sz="12"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Introductory</w:t>
            </w:r>
            <w:r w:rsidRPr="00341581">
              <w:rPr>
                <w:rFonts w:eastAsia="Calibri"/>
                <w:spacing w:val="-2"/>
                <w:sz w:val="18"/>
                <w:szCs w:val="22"/>
              </w:rPr>
              <w:t xml:space="preserve"> </w:t>
            </w:r>
            <w:r>
              <w:rPr>
                <w:rFonts w:eastAsia="Calibri"/>
                <w:sz w:val="18"/>
                <w:szCs w:val="22"/>
              </w:rPr>
              <w:t>i</w:t>
            </w:r>
            <w:r w:rsidRPr="00341581">
              <w:rPr>
                <w:rFonts w:eastAsia="Calibri"/>
                <w:sz w:val="18"/>
                <w:szCs w:val="22"/>
              </w:rPr>
              <w:t>nformation</w:t>
            </w:r>
          </w:p>
        </w:tc>
        <w:tc>
          <w:tcPr>
            <w:tcW w:w="2835" w:type="dxa"/>
            <w:tcBorders>
              <w:top w:val="single" w:sz="12"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11.1</w:t>
            </w:r>
          </w:p>
        </w:tc>
        <w:tc>
          <w:tcPr>
            <w:tcW w:w="1418" w:type="dxa"/>
            <w:tcBorders>
              <w:top w:val="single" w:sz="12"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4-17</w:t>
            </w:r>
          </w:p>
        </w:tc>
      </w:tr>
      <w:tr w:rsidR="00761D23" w:rsidRPr="00341581" w:rsidTr="00761D23">
        <w:trPr>
          <w:trHeight w:hRule="exact" w:val="430"/>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8" w:space="0" w:color="AB054C"/>
              <w:bottom w:val="single" w:sz="8"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Agency role and main</w:t>
            </w:r>
            <w:r w:rsidRPr="00341581">
              <w:rPr>
                <w:rFonts w:eastAsia="Calibri"/>
                <w:spacing w:val="-6"/>
                <w:sz w:val="18"/>
                <w:szCs w:val="22"/>
              </w:rPr>
              <w:t xml:space="preserve"> </w:t>
            </w:r>
            <w:r w:rsidRPr="00341581">
              <w:rPr>
                <w:rFonts w:eastAsia="Calibri"/>
                <w:sz w:val="18"/>
                <w:szCs w:val="22"/>
              </w:rPr>
              <w:t>functions</w:t>
            </w:r>
          </w:p>
        </w:tc>
        <w:tc>
          <w:tcPr>
            <w:tcW w:w="2835" w:type="dxa"/>
            <w:tcBorders>
              <w:top w:val="single" w:sz="8"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11.2</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4, 11-17, 67</w:t>
            </w:r>
          </w:p>
        </w:tc>
      </w:tr>
      <w:tr w:rsidR="00761D23" w:rsidRPr="00341581" w:rsidTr="00761D23">
        <w:trPr>
          <w:trHeight w:hRule="exact" w:val="430"/>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8" w:space="0" w:color="AB054C"/>
              <w:bottom w:val="single" w:sz="12" w:space="0" w:color="AB054C"/>
            </w:tcBorders>
          </w:tcPr>
          <w:p w:rsidR="00761D23" w:rsidRPr="00341581" w:rsidRDefault="00761D23" w:rsidP="00761D23">
            <w:pPr>
              <w:spacing w:after="120"/>
              <w:rPr>
                <w:rFonts w:eastAsia="Calibri"/>
              </w:rPr>
            </w:pPr>
          </w:p>
        </w:tc>
        <w:tc>
          <w:tcPr>
            <w:tcW w:w="4120" w:type="dxa"/>
            <w:tcBorders>
              <w:top w:val="single" w:sz="8" w:space="0" w:color="AB054C"/>
              <w:bottom w:val="single" w:sz="12"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Operating environment</w:t>
            </w:r>
          </w:p>
        </w:tc>
        <w:tc>
          <w:tcPr>
            <w:tcW w:w="2835" w:type="dxa"/>
            <w:tcBorders>
              <w:top w:val="single" w:sz="8" w:space="0" w:color="AB054C"/>
              <w:bottom w:val="single" w:sz="12"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11.3</w:t>
            </w:r>
          </w:p>
        </w:tc>
        <w:tc>
          <w:tcPr>
            <w:tcW w:w="1418" w:type="dxa"/>
            <w:tcBorders>
              <w:top w:val="single" w:sz="8" w:space="0" w:color="AB054C"/>
              <w:bottom w:val="single" w:sz="12"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11-16</w:t>
            </w:r>
          </w:p>
        </w:tc>
      </w:tr>
      <w:tr w:rsidR="00761D23" w:rsidRPr="00341581" w:rsidTr="00761D23">
        <w:trPr>
          <w:trHeight w:hRule="exact" w:val="463"/>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tcBorders>
          </w:tcPr>
          <w:p w:rsidR="00761D23" w:rsidRPr="003D7813" w:rsidRDefault="00761D23" w:rsidP="00761D23">
            <w:pPr>
              <w:spacing w:after="120"/>
              <w:ind w:left="143"/>
              <w:rPr>
                <w:b w:val="0"/>
                <w:sz w:val="18"/>
                <w:szCs w:val="18"/>
              </w:rPr>
            </w:pPr>
            <w:r w:rsidRPr="003D7813">
              <w:rPr>
                <w:sz w:val="18"/>
                <w:szCs w:val="18"/>
              </w:rPr>
              <w:t>Non-financial performance</w:t>
            </w:r>
          </w:p>
        </w:tc>
        <w:tc>
          <w:tcPr>
            <w:tcW w:w="4120" w:type="dxa"/>
            <w:tcBorders>
              <w:top w:val="single" w:sz="12" w:space="0" w:color="AB054C"/>
              <w:bottom w:val="single" w:sz="8" w:space="0" w:color="AB054C"/>
            </w:tcBorders>
          </w:tcPr>
          <w:p w:rsidR="00761D23" w:rsidRPr="003D7813"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472174">
              <w:rPr>
                <w:rFonts w:eastAsia="Calibri"/>
                <w:sz w:val="18"/>
                <w:szCs w:val="22"/>
              </w:rPr>
              <w:t>Government’s objectives for the community</w:t>
            </w:r>
          </w:p>
        </w:tc>
        <w:tc>
          <w:tcPr>
            <w:tcW w:w="2835" w:type="dxa"/>
            <w:tcBorders>
              <w:top w:val="single" w:sz="12" w:space="0" w:color="AB054C"/>
              <w:bottom w:val="single" w:sz="8" w:space="0" w:color="AB054C"/>
            </w:tcBorders>
          </w:tcPr>
          <w:p w:rsidR="00761D23" w:rsidRPr="003D7813" w:rsidRDefault="00761D23" w:rsidP="00761D23">
            <w:pPr>
              <w:pStyle w:val="BodyText"/>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D7813">
              <w:rPr>
                <w:rFonts w:eastAsia="Arial"/>
                <w:sz w:val="18"/>
                <w:szCs w:val="18"/>
              </w:rPr>
              <w:t>ARRs – section</w:t>
            </w:r>
            <w:r w:rsidRPr="003D7813">
              <w:rPr>
                <w:rFonts w:eastAsia="Arial"/>
                <w:spacing w:val="-7"/>
                <w:sz w:val="18"/>
                <w:szCs w:val="18"/>
              </w:rPr>
              <w:t xml:space="preserve"> </w:t>
            </w:r>
            <w:r w:rsidRPr="003D7813">
              <w:rPr>
                <w:rFonts w:eastAsia="Arial"/>
                <w:sz w:val="18"/>
                <w:szCs w:val="18"/>
              </w:rPr>
              <w:t>12.1</w:t>
            </w:r>
          </w:p>
        </w:tc>
        <w:tc>
          <w:tcPr>
            <w:tcW w:w="1418" w:type="dxa"/>
            <w:tcBorders>
              <w:top w:val="single" w:sz="12" w:space="0" w:color="AB054C"/>
              <w:bottom w:val="single" w:sz="8" w:space="0" w:color="AB054C"/>
            </w:tcBorders>
          </w:tcPr>
          <w:p w:rsidR="00761D23" w:rsidRPr="00B8361D" w:rsidRDefault="00B8361D" w:rsidP="00761D23">
            <w:pPr>
              <w:widowControl w:val="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13</w:t>
            </w:r>
          </w:p>
        </w:tc>
      </w:tr>
      <w:tr w:rsidR="00761D23" w:rsidRPr="00341581" w:rsidTr="00761D23">
        <w:trPr>
          <w:trHeight w:hRule="exact" w:val="636"/>
        </w:trPr>
        <w:tc>
          <w:tcPr>
            <w:cnfStyle w:val="001000000000" w:firstRow="0" w:lastRow="0" w:firstColumn="1" w:lastColumn="0" w:oddVBand="0" w:evenVBand="0" w:oddHBand="0" w:evenHBand="0" w:firstRowFirstColumn="0" w:firstRowLastColumn="0" w:lastRowFirstColumn="0" w:lastRowLastColumn="0"/>
            <w:tcW w:w="1702" w:type="dxa"/>
            <w:vMerge/>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Other</w:t>
            </w:r>
            <w:r w:rsidRPr="00341581">
              <w:rPr>
                <w:rFonts w:eastAsia="Calibri"/>
                <w:spacing w:val="-7"/>
                <w:sz w:val="18"/>
                <w:szCs w:val="22"/>
              </w:rPr>
              <w:t xml:space="preserve"> </w:t>
            </w:r>
            <w:r w:rsidRPr="00341581">
              <w:rPr>
                <w:rFonts w:eastAsia="Calibri"/>
                <w:sz w:val="18"/>
                <w:szCs w:val="22"/>
              </w:rPr>
              <w:t>whole-of-government plans/specific</w:t>
            </w:r>
            <w:r w:rsidRPr="00341581">
              <w:rPr>
                <w:rFonts w:eastAsia="Calibri"/>
                <w:spacing w:val="-7"/>
                <w:sz w:val="18"/>
                <w:szCs w:val="22"/>
              </w:rPr>
              <w:t xml:space="preserve"> </w:t>
            </w:r>
            <w:r w:rsidRPr="00341581">
              <w:rPr>
                <w:rFonts w:eastAsia="Calibri"/>
                <w:sz w:val="18"/>
                <w:szCs w:val="22"/>
              </w:rPr>
              <w:t>initiatives</w:t>
            </w:r>
          </w:p>
        </w:tc>
        <w:tc>
          <w:tcPr>
            <w:tcW w:w="2835" w:type="dxa"/>
            <w:tcBorders>
              <w:top w:val="single" w:sz="8"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12.2</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21-31</w:t>
            </w:r>
          </w:p>
        </w:tc>
      </w:tr>
      <w:tr w:rsidR="00761D23" w:rsidRPr="00341581" w:rsidTr="00761D23">
        <w:trPr>
          <w:trHeight w:hRule="exact" w:val="636"/>
        </w:trPr>
        <w:tc>
          <w:tcPr>
            <w:cnfStyle w:val="001000000000" w:firstRow="0" w:lastRow="0" w:firstColumn="1" w:lastColumn="0" w:oddVBand="0" w:evenVBand="0" w:oddHBand="0" w:evenHBand="0" w:firstRowFirstColumn="0" w:firstRowLastColumn="0" w:lastRowFirstColumn="0" w:lastRowLastColumn="0"/>
            <w:tcW w:w="1702" w:type="dxa"/>
            <w:vMerge/>
          </w:tcPr>
          <w:p w:rsidR="00761D23" w:rsidRPr="00341581" w:rsidRDefault="00761D23" w:rsidP="00761D23">
            <w:pPr>
              <w:spacing w:after="120"/>
              <w:rPr>
                <w:rFonts w:eastAsia="Calibri"/>
              </w:rPr>
            </w:pPr>
          </w:p>
        </w:tc>
        <w:tc>
          <w:tcPr>
            <w:tcW w:w="4120" w:type="dxa"/>
            <w:tcBorders>
              <w:top w:val="single" w:sz="8" w:space="0" w:color="AB054C"/>
              <w:bottom w:val="single" w:sz="8"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Agency objectives</w:t>
            </w:r>
            <w:r w:rsidRPr="00341581">
              <w:rPr>
                <w:rFonts w:eastAsia="Calibri"/>
                <w:spacing w:val="-6"/>
                <w:sz w:val="18"/>
                <w:szCs w:val="22"/>
              </w:rPr>
              <w:t xml:space="preserve"> </w:t>
            </w:r>
            <w:r w:rsidRPr="00341581">
              <w:rPr>
                <w:rFonts w:eastAsia="Calibri"/>
                <w:sz w:val="18"/>
                <w:szCs w:val="22"/>
              </w:rPr>
              <w:t>and performance</w:t>
            </w:r>
            <w:r w:rsidRPr="00341581">
              <w:rPr>
                <w:rFonts w:eastAsia="Calibri"/>
                <w:spacing w:val="-6"/>
                <w:sz w:val="18"/>
                <w:szCs w:val="22"/>
              </w:rPr>
              <w:t xml:space="preserve"> </w:t>
            </w:r>
            <w:r w:rsidRPr="00341581">
              <w:rPr>
                <w:rFonts w:eastAsia="Calibri"/>
                <w:sz w:val="18"/>
                <w:szCs w:val="22"/>
              </w:rPr>
              <w:t>indicators</w:t>
            </w:r>
          </w:p>
        </w:tc>
        <w:tc>
          <w:tcPr>
            <w:tcW w:w="2835" w:type="dxa"/>
            <w:tcBorders>
              <w:top w:val="single" w:sz="8" w:space="0" w:color="AB054C"/>
              <w:bottom w:val="single" w:sz="8" w:space="0" w:color="AB054C"/>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12.3</w:t>
            </w:r>
          </w:p>
        </w:tc>
        <w:tc>
          <w:tcPr>
            <w:tcW w:w="1418" w:type="dxa"/>
            <w:tcBorders>
              <w:top w:val="single" w:sz="8" w:space="0" w:color="AB054C"/>
              <w:bottom w:val="single" w:sz="8" w:space="0" w:color="AB054C"/>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20-31</w:t>
            </w:r>
          </w:p>
        </w:tc>
      </w:tr>
      <w:tr w:rsidR="00761D23" w:rsidRPr="00341581" w:rsidTr="00761D23">
        <w:trPr>
          <w:trHeight w:hRule="exact" w:val="524"/>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right w:val="nil"/>
            </w:tcBorders>
          </w:tcPr>
          <w:p w:rsidR="00761D23" w:rsidRPr="00341581" w:rsidRDefault="00761D23" w:rsidP="00761D23">
            <w:pPr>
              <w:spacing w:after="120"/>
              <w:rPr>
                <w:rFonts w:eastAsia="Calibri"/>
              </w:rPr>
            </w:pPr>
          </w:p>
        </w:tc>
        <w:tc>
          <w:tcPr>
            <w:tcW w:w="4120" w:type="dxa"/>
            <w:tcBorders>
              <w:top w:val="single" w:sz="8" w:space="0" w:color="AB054C"/>
              <w:left w:val="nil"/>
              <w:bottom w:val="single" w:sz="12" w:space="0" w:color="AB054C"/>
              <w:right w:val="nil"/>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Agency service areas</w:t>
            </w:r>
            <w:r w:rsidRPr="00341581">
              <w:rPr>
                <w:rFonts w:eastAsia="Calibri"/>
                <w:spacing w:val="-8"/>
                <w:sz w:val="18"/>
                <w:szCs w:val="22"/>
              </w:rPr>
              <w:t xml:space="preserve"> </w:t>
            </w:r>
            <w:r w:rsidRPr="00341581">
              <w:rPr>
                <w:rFonts w:eastAsia="Calibri"/>
                <w:sz w:val="18"/>
                <w:szCs w:val="22"/>
              </w:rPr>
              <w:t>and service</w:t>
            </w:r>
            <w:r w:rsidRPr="00341581">
              <w:rPr>
                <w:rFonts w:eastAsia="Calibri"/>
                <w:spacing w:val="-3"/>
                <w:sz w:val="18"/>
                <w:szCs w:val="22"/>
              </w:rPr>
              <w:t xml:space="preserve"> </w:t>
            </w:r>
            <w:r w:rsidRPr="00341581">
              <w:rPr>
                <w:rFonts w:eastAsia="Calibri"/>
                <w:sz w:val="18"/>
                <w:szCs w:val="22"/>
              </w:rPr>
              <w:t>standards</w:t>
            </w:r>
          </w:p>
        </w:tc>
        <w:tc>
          <w:tcPr>
            <w:tcW w:w="2835" w:type="dxa"/>
            <w:tcBorders>
              <w:top w:val="single" w:sz="8" w:space="0" w:color="AB054C"/>
              <w:left w:val="nil"/>
              <w:bottom w:val="single" w:sz="12" w:space="0" w:color="AB054C"/>
              <w:right w:val="nil"/>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12.4</w:t>
            </w:r>
          </w:p>
        </w:tc>
        <w:tc>
          <w:tcPr>
            <w:tcW w:w="1418" w:type="dxa"/>
            <w:tcBorders>
              <w:top w:val="single" w:sz="8" w:space="0" w:color="AB054C"/>
              <w:left w:val="nil"/>
              <w:bottom w:val="single" w:sz="12" w:space="0" w:color="AB054C"/>
              <w:right w:val="nil"/>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20</w:t>
            </w:r>
          </w:p>
        </w:tc>
      </w:tr>
      <w:tr w:rsidR="00761D23" w:rsidRPr="00341581" w:rsidTr="00761D23">
        <w:trPr>
          <w:trHeight w:hRule="exact" w:val="636"/>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AB054C"/>
              <w:bottom w:val="single" w:sz="12" w:space="0" w:color="AB054C"/>
            </w:tcBorders>
          </w:tcPr>
          <w:p w:rsidR="00761D23" w:rsidRPr="00341581" w:rsidRDefault="00761D23" w:rsidP="00761D23">
            <w:pPr>
              <w:widowControl w:val="0"/>
              <w:spacing w:after="120"/>
              <w:ind w:left="103"/>
              <w:rPr>
                <w:rFonts w:eastAsia="Arial"/>
                <w:sz w:val="18"/>
                <w:szCs w:val="18"/>
              </w:rPr>
            </w:pPr>
            <w:r w:rsidRPr="00341581">
              <w:rPr>
                <w:rFonts w:eastAsia="Calibri"/>
                <w:sz w:val="18"/>
                <w:szCs w:val="22"/>
              </w:rPr>
              <w:t>Financial performance</w:t>
            </w:r>
          </w:p>
        </w:tc>
        <w:tc>
          <w:tcPr>
            <w:tcW w:w="4120" w:type="dxa"/>
            <w:tcBorders>
              <w:top w:val="single" w:sz="12" w:space="0" w:color="AB054C"/>
              <w:bottom w:val="single" w:sz="12" w:space="0" w:color="AB054C"/>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Calibri"/>
                <w:sz w:val="18"/>
                <w:szCs w:val="22"/>
              </w:rPr>
              <w:t>Summary of</w:t>
            </w:r>
            <w:r w:rsidRPr="00341581">
              <w:rPr>
                <w:rFonts w:eastAsia="Calibri"/>
                <w:spacing w:val="-7"/>
                <w:sz w:val="18"/>
                <w:szCs w:val="22"/>
              </w:rPr>
              <w:t xml:space="preserve"> </w:t>
            </w:r>
            <w:r w:rsidRPr="00341581">
              <w:rPr>
                <w:rFonts w:eastAsia="Calibri"/>
                <w:sz w:val="18"/>
                <w:szCs w:val="22"/>
              </w:rPr>
              <w:t>financial performance</w:t>
            </w:r>
          </w:p>
        </w:tc>
        <w:tc>
          <w:tcPr>
            <w:tcW w:w="2835" w:type="dxa"/>
            <w:tcBorders>
              <w:top w:val="single" w:sz="12" w:space="0" w:color="AB054C"/>
              <w:bottom w:val="single" w:sz="12" w:space="0" w:color="AB054C"/>
            </w:tcBorders>
            <w:shd w:val="clear" w:color="auto" w:fill="auto"/>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41581">
              <w:rPr>
                <w:rFonts w:eastAsia="Arial"/>
                <w:sz w:val="18"/>
                <w:szCs w:val="18"/>
              </w:rPr>
              <w:t>ARRs – section</w:t>
            </w:r>
            <w:r w:rsidRPr="00341581">
              <w:rPr>
                <w:rFonts w:eastAsia="Arial"/>
                <w:spacing w:val="-7"/>
                <w:sz w:val="18"/>
                <w:szCs w:val="18"/>
              </w:rPr>
              <w:t xml:space="preserve"> </w:t>
            </w:r>
            <w:r w:rsidRPr="00341581">
              <w:rPr>
                <w:rFonts w:eastAsia="Arial"/>
                <w:sz w:val="18"/>
                <w:szCs w:val="18"/>
              </w:rPr>
              <w:t>13.1</w:t>
            </w:r>
          </w:p>
        </w:tc>
        <w:tc>
          <w:tcPr>
            <w:tcW w:w="1418" w:type="dxa"/>
            <w:tcBorders>
              <w:top w:val="single" w:sz="12" w:space="0" w:color="AB054C"/>
              <w:bottom w:val="single" w:sz="12" w:space="0" w:color="AB054C"/>
            </w:tcBorders>
          </w:tcPr>
          <w:p w:rsidR="00761D23" w:rsidRPr="00B8361D" w:rsidRDefault="00CB1752"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18-19</w:t>
            </w:r>
          </w:p>
        </w:tc>
      </w:tr>
      <w:tr w:rsidR="00761D23" w:rsidRPr="00341581" w:rsidTr="00761D23">
        <w:trPr>
          <w:trHeight w:hRule="exact" w:val="523"/>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tcBorders>
          </w:tcPr>
          <w:p w:rsidR="00761D23" w:rsidRPr="00341581" w:rsidRDefault="00761D23" w:rsidP="00761D23">
            <w:pPr>
              <w:widowControl w:val="0"/>
              <w:spacing w:after="120"/>
              <w:ind w:left="103"/>
              <w:rPr>
                <w:rFonts w:eastAsia="Calibri"/>
                <w:sz w:val="18"/>
                <w:szCs w:val="22"/>
              </w:rPr>
            </w:pPr>
            <w:r>
              <w:rPr>
                <w:rFonts w:eastAsia="Calibri"/>
                <w:sz w:val="18"/>
                <w:szCs w:val="22"/>
              </w:rPr>
              <w:t>Governance – management and structure</w:t>
            </w:r>
          </w:p>
        </w:tc>
        <w:tc>
          <w:tcPr>
            <w:tcW w:w="4120" w:type="dxa"/>
            <w:tcBorders>
              <w:top w:val="single" w:sz="12" w:space="0" w:color="AB054C"/>
              <w:bottom w:val="single" w:sz="8" w:space="0" w:color="8A002E"/>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Organisational structure</w:t>
            </w:r>
          </w:p>
        </w:tc>
        <w:tc>
          <w:tcPr>
            <w:tcW w:w="2835" w:type="dxa"/>
            <w:tcBorders>
              <w:top w:val="single" w:sz="12" w:space="0" w:color="AB054C"/>
              <w:bottom w:val="single" w:sz="8" w:space="0" w:color="8A002E"/>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14.1</w:t>
            </w:r>
          </w:p>
        </w:tc>
        <w:tc>
          <w:tcPr>
            <w:tcW w:w="1418" w:type="dxa"/>
            <w:tcBorders>
              <w:top w:val="single" w:sz="12" w:space="0" w:color="AB054C"/>
              <w:bottom w:val="single" w:sz="8" w:space="0" w:color="8A002E"/>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17</w:t>
            </w:r>
          </w:p>
        </w:tc>
      </w:tr>
      <w:tr w:rsidR="00761D23" w:rsidRPr="00341581" w:rsidTr="00761D23">
        <w:trPr>
          <w:trHeight w:hRule="exact" w:val="526"/>
        </w:trPr>
        <w:tc>
          <w:tcPr>
            <w:cnfStyle w:val="001000000000" w:firstRow="0" w:lastRow="0" w:firstColumn="1" w:lastColumn="0" w:oddVBand="0" w:evenVBand="0" w:oddHBand="0" w:evenHBand="0" w:firstRowFirstColumn="0" w:firstRowLastColumn="0" w:lastRowFirstColumn="0" w:lastRowLastColumn="0"/>
            <w:tcW w:w="1702" w:type="dxa"/>
            <w:vMerge/>
          </w:tcPr>
          <w:p w:rsidR="00761D23" w:rsidRDefault="00761D23" w:rsidP="00761D23">
            <w:pPr>
              <w:widowControl w:val="0"/>
              <w:spacing w:after="120"/>
              <w:ind w:left="103"/>
              <w:rPr>
                <w:rFonts w:eastAsia="Calibri"/>
                <w:sz w:val="18"/>
                <w:szCs w:val="22"/>
              </w:rPr>
            </w:pPr>
          </w:p>
        </w:tc>
        <w:tc>
          <w:tcPr>
            <w:tcW w:w="4120" w:type="dxa"/>
            <w:tcBorders>
              <w:top w:val="single" w:sz="8" w:space="0" w:color="8A002E"/>
              <w:bottom w:val="single" w:sz="8" w:space="0" w:color="8A002E"/>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Executive management</w:t>
            </w:r>
          </w:p>
        </w:tc>
        <w:tc>
          <w:tcPr>
            <w:tcW w:w="2835" w:type="dxa"/>
            <w:tcBorders>
              <w:top w:val="single" w:sz="8" w:space="0" w:color="8A002E"/>
              <w:bottom w:val="single" w:sz="8" w:space="0" w:color="8A002E"/>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14.2</w:t>
            </w:r>
          </w:p>
        </w:tc>
        <w:tc>
          <w:tcPr>
            <w:tcW w:w="1418" w:type="dxa"/>
            <w:tcBorders>
              <w:top w:val="single" w:sz="8" w:space="0" w:color="8A002E"/>
              <w:bottom w:val="single" w:sz="8" w:space="0" w:color="8A002E"/>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32-33</w:t>
            </w:r>
          </w:p>
        </w:tc>
      </w:tr>
      <w:tr w:rsidR="00761D23" w:rsidRPr="00341581" w:rsidTr="00761D23">
        <w:trPr>
          <w:trHeight w:hRule="exact" w:val="609"/>
        </w:trPr>
        <w:tc>
          <w:tcPr>
            <w:cnfStyle w:val="001000000000" w:firstRow="0" w:lastRow="0" w:firstColumn="1" w:lastColumn="0" w:oddVBand="0" w:evenVBand="0" w:oddHBand="0" w:evenHBand="0" w:firstRowFirstColumn="0" w:firstRowLastColumn="0" w:lastRowFirstColumn="0" w:lastRowLastColumn="0"/>
            <w:tcW w:w="1702" w:type="dxa"/>
            <w:vMerge/>
          </w:tcPr>
          <w:p w:rsidR="00761D23" w:rsidRDefault="00761D23" w:rsidP="00761D23">
            <w:pPr>
              <w:widowControl w:val="0"/>
              <w:spacing w:after="120"/>
              <w:ind w:left="103"/>
              <w:rPr>
                <w:rFonts w:eastAsia="Calibri"/>
                <w:sz w:val="18"/>
                <w:szCs w:val="22"/>
              </w:rPr>
            </w:pPr>
          </w:p>
        </w:tc>
        <w:tc>
          <w:tcPr>
            <w:tcW w:w="4120" w:type="dxa"/>
            <w:tcBorders>
              <w:top w:val="single" w:sz="8" w:space="0" w:color="8A002E"/>
              <w:bottom w:val="single" w:sz="8" w:space="0" w:color="8A002E"/>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Government bodies (statutory bodies and other entities)</w:t>
            </w:r>
          </w:p>
        </w:tc>
        <w:tc>
          <w:tcPr>
            <w:tcW w:w="2835" w:type="dxa"/>
            <w:tcBorders>
              <w:top w:val="single" w:sz="8" w:space="0" w:color="8A002E"/>
              <w:bottom w:val="single" w:sz="8" w:space="0" w:color="8A002E"/>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14.3</w:t>
            </w:r>
          </w:p>
        </w:tc>
        <w:tc>
          <w:tcPr>
            <w:tcW w:w="1418" w:type="dxa"/>
            <w:tcBorders>
              <w:top w:val="single" w:sz="8" w:space="0" w:color="8A002E"/>
              <w:bottom w:val="single" w:sz="8" w:space="0" w:color="8A002E"/>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N/A</w:t>
            </w:r>
          </w:p>
        </w:tc>
      </w:tr>
      <w:tr w:rsidR="00761D23" w:rsidRPr="00341581" w:rsidTr="00761D23">
        <w:trPr>
          <w:trHeight w:hRule="exact" w:val="725"/>
        </w:trPr>
        <w:tc>
          <w:tcPr>
            <w:cnfStyle w:val="001000000000" w:firstRow="0" w:lastRow="0" w:firstColumn="1" w:lastColumn="0" w:oddVBand="0" w:evenVBand="0" w:oddHBand="0" w:evenHBand="0" w:firstRowFirstColumn="0" w:firstRowLastColumn="0" w:lastRowFirstColumn="0" w:lastRowLastColumn="0"/>
            <w:tcW w:w="1702" w:type="dxa"/>
            <w:vMerge/>
          </w:tcPr>
          <w:p w:rsidR="00761D23" w:rsidRDefault="00761D23" w:rsidP="00761D23">
            <w:pPr>
              <w:widowControl w:val="0"/>
              <w:spacing w:after="120"/>
              <w:ind w:left="103"/>
              <w:rPr>
                <w:rFonts w:eastAsia="Calibri"/>
                <w:sz w:val="18"/>
                <w:szCs w:val="22"/>
              </w:rPr>
            </w:pPr>
          </w:p>
        </w:tc>
        <w:tc>
          <w:tcPr>
            <w:tcW w:w="4120" w:type="dxa"/>
            <w:tcBorders>
              <w:top w:val="single" w:sz="8" w:space="0" w:color="8A002E"/>
              <w:bottom w:val="single" w:sz="8" w:space="0" w:color="8A002E"/>
            </w:tcBorders>
          </w:tcPr>
          <w:p w:rsidR="00761D23" w:rsidRPr="00652B39"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Calibri"/>
                <w:i/>
                <w:sz w:val="18"/>
                <w:szCs w:val="22"/>
              </w:rPr>
            </w:pPr>
            <w:r>
              <w:rPr>
                <w:rFonts w:eastAsia="Calibri"/>
                <w:i/>
                <w:sz w:val="18"/>
                <w:szCs w:val="22"/>
              </w:rPr>
              <w:t>Public Sector Ethics Act </w:t>
            </w:r>
            <w:r w:rsidRPr="00652B39">
              <w:rPr>
                <w:rFonts w:eastAsia="Calibri"/>
                <w:i/>
                <w:sz w:val="18"/>
                <w:szCs w:val="22"/>
              </w:rPr>
              <w:t>1994</w:t>
            </w:r>
          </w:p>
        </w:tc>
        <w:tc>
          <w:tcPr>
            <w:tcW w:w="2835" w:type="dxa"/>
            <w:tcBorders>
              <w:top w:val="single" w:sz="8" w:space="0" w:color="8A002E"/>
              <w:bottom w:val="single" w:sz="8" w:space="0" w:color="8A002E"/>
            </w:tcBorders>
          </w:tcPr>
          <w:p w:rsidR="00761D23" w:rsidRPr="00652B39"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i/>
                <w:sz w:val="18"/>
                <w:szCs w:val="18"/>
              </w:rPr>
            </w:pPr>
            <w:r w:rsidRPr="00652B39">
              <w:rPr>
                <w:rFonts w:eastAsia="Arial"/>
                <w:i/>
                <w:sz w:val="18"/>
                <w:szCs w:val="18"/>
              </w:rPr>
              <w:t>Public Sector Ethics Act 1994</w:t>
            </w:r>
          </w:p>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14.4</w:t>
            </w:r>
          </w:p>
        </w:tc>
        <w:tc>
          <w:tcPr>
            <w:tcW w:w="1418" w:type="dxa"/>
            <w:tcBorders>
              <w:top w:val="single" w:sz="8" w:space="0" w:color="8A002E"/>
              <w:bottom w:val="single" w:sz="8" w:space="0" w:color="8A002E"/>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36</w:t>
            </w:r>
          </w:p>
        </w:tc>
      </w:tr>
      <w:tr w:rsidR="00761D23" w:rsidRPr="00341581" w:rsidTr="00761D23">
        <w:trPr>
          <w:trHeight w:hRule="exact" w:val="638"/>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8A002E"/>
            </w:tcBorders>
          </w:tcPr>
          <w:p w:rsidR="00761D23" w:rsidRDefault="00761D23" w:rsidP="00761D23">
            <w:pPr>
              <w:widowControl w:val="0"/>
              <w:spacing w:after="120"/>
              <w:ind w:left="103"/>
              <w:rPr>
                <w:rFonts w:eastAsia="Calibri"/>
                <w:sz w:val="18"/>
                <w:szCs w:val="22"/>
              </w:rPr>
            </w:pPr>
          </w:p>
        </w:tc>
        <w:tc>
          <w:tcPr>
            <w:tcW w:w="4120" w:type="dxa"/>
            <w:tcBorders>
              <w:top w:val="single" w:sz="8" w:space="0" w:color="8A002E"/>
              <w:bottom w:val="single" w:sz="12" w:space="0" w:color="8A002E"/>
            </w:tcBorders>
          </w:tcPr>
          <w:p w:rsidR="00761D23" w:rsidRPr="00341581" w:rsidRDefault="00761D23" w:rsidP="00761D23">
            <w:pPr>
              <w:widowControl w:val="0"/>
              <w:numPr>
                <w:ilvl w:val="0"/>
                <w:numId w:val="12"/>
              </w:numPr>
              <w:tabs>
                <w:tab w:val="left" w:pos="356"/>
              </w:tabs>
              <w:spacing w:after="120"/>
              <w:ind w:right="52"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Queensland public service values</w:t>
            </w:r>
          </w:p>
        </w:tc>
        <w:tc>
          <w:tcPr>
            <w:tcW w:w="2835" w:type="dxa"/>
            <w:tcBorders>
              <w:top w:val="single" w:sz="8" w:space="0" w:color="8A002E"/>
              <w:bottom w:val="single" w:sz="12" w:space="0" w:color="8A002E"/>
            </w:tcBorders>
          </w:tcPr>
          <w:p w:rsidR="00761D23" w:rsidRPr="00341581" w:rsidRDefault="00761D23" w:rsidP="00761D23">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14.5</w:t>
            </w:r>
          </w:p>
        </w:tc>
        <w:tc>
          <w:tcPr>
            <w:tcW w:w="1418" w:type="dxa"/>
            <w:tcBorders>
              <w:top w:val="single" w:sz="8" w:space="0" w:color="8A002E"/>
              <w:bottom w:val="single" w:sz="12" w:space="0" w:color="8A002E"/>
            </w:tcBorders>
          </w:tcPr>
          <w:p w:rsidR="00761D23" w:rsidRPr="00B8361D" w:rsidRDefault="00B8361D" w:rsidP="00761D23">
            <w:pPr>
              <w:widowControl w:val="0"/>
              <w:spacing w:after="120"/>
              <w:ind w:left="4" w:right="0"/>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B8361D">
              <w:rPr>
                <w:rFonts w:eastAsia="Arial"/>
                <w:sz w:val="18"/>
                <w:szCs w:val="18"/>
              </w:rPr>
              <w:t>15</w:t>
            </w:r>
          </w:p>
        </w:tc>
      </w:tr>
    </w:tbl>
    <w:p w:rsidR="00835CC4" w:rsidRPr="006E1C5C" w:rsidRDefault="00835CC4" w:rsidP="00C60996">
      <w:pPr>
        <w:pStyle w:val="Heading2"/>
      </w:pPr>
      <w:bookmarkStart w:id="287" w:name="_Toc460406699"/>
      <w:bookmarkStart w:id="288" w:name="_Toc460406849"/>
      <w:bookmarkStart w:id="289" w:name="_Toc460406885"/>
      <w:bookmarkStart w:id="290" w:name="_Toc460406964"/>
      <w:bookmarkStart w:id="291" w:name="_Toc460407078"/>
      <w:bookmarkStart w:id="292" w:name="_Toc460487981"/>
      <w:r w:rsidRPr="006E1C5C">
        <w:t>Compliance checklist</w:t>
      </w:r>
      <w:bookmarkEnd w:id="287"/>
      <w:bookmarkEnd w:id="288"/>
      <w:bookmarkEnd w:id="289"/>
      <w:bookmarkEnd w:id="290"/>
      <w:bookmarkEnd w:id="291"/>
      <w:bookmarkEnd w:id="292"/>
    </w:p>
    <w:p w:rsidR="00103A67" w:rsidRDefault="00103A67" w:rsidP="00F6121E">
      <w:pPr>
        <w:pStyle w:val="Default"/>
        <w:widowControl w:val="0"/>
        <w:tabs>
          <w:tab w:val="left" w:pos="851"/>
        </w:tabs>
        <w:rPr>
          <w:sz w:val="18"/>
          <w:szCs w:val="18"/>
          <w:u w:val="none"/>
        </w:rPr>
      </w:pPr>
      <w:bookmarkStart w:id="293" w:name="_Toc415049815"/>
      <w:bookmarkStart w:id="294" w:name="_Toc415050367"/>
      <w:bookmarkStart w:id="295" w:name="_Toc441671829"/>
      <w:bookmarkStart w:id="296" w:name="_Toc441672117"/>
      <w:bookmarkStart w:id="297" w:name="_Toc442168904"/>
    </w:p>
    <w:p w:rsidR="00103A67" w:rsidRDefault="00103A67" w:rsidP="00F6121E">
      <w:pPr>
        <w:pStyle w:val="Default"/>
        <w:widowControl w:val="0"/>
        <w:tabs>
          <w:tab w:val="left" w:pos="851"/>
        </w:tabs>
        <w:rPr>
          <w:sz w:val="18"/>
          <w:szCs w:val="18"/>
          <w:u w:val="none"/>
        </w:rPr>
      </w:pPr>
    </w:p>
    <w:tbl>
      <w:tblPr>
        <w:tblStyle w:val="FinancialTable"/>
        <w:tblpPr w:leftFromText="180" w:rightFromText="180" w:vertAnchor="text" w:horzAnchor="margin" w:tblpY="-43"/>
        <w:tblW w:w="10075" w:type="dxa"/>
        <w:tblBorders>
          <w:top w:val="single" w:sz="8" w:space="0" w:color="670022" w:themeColor="accent1" w:themeShade="BF"/>
          <w:bottom w:val="single" w:sz="8" w:space="0" w:color="670022" w:themeColor="accent1" w:themeShade="BF"/>
          <w:insideH w:val="single" w:sz="8" w:space="0" w:color="670022" w:themeColor="accent1" w:themeShade="BF"/>
        </w:tblBorders>
        <w:tblLayout w:type="fixed"/>
        <w:tblLook w:val="01E0" w:firstRow="1" w:lastRow="1" w:firstColumn="1" w:lastColumn="1" w:noHBand="0" w:noVBand="0"/>
      </w:tblPr>
      <w:tblGrid>
        <w:gridCol w:w="1702"/>
        <w:gridCol w:w="4120"/>
        <w:gridCol w:w="2835"/>
        <w:gridCol w:w="1418"/>
      </w:tblGrid>
      <w:tr w:rsidR="00B8361D" w:rsidRPr="00341581" w:rsidTr="00B8361D">
        <w:trPr>
          <w:cnfStyle w:val="100000000000" w:firstRow="1" w:lastRow="0" w:firstColumn="0" w:lastColumn="0" w:oddVBand="0" w:evenVBand="0" w:oddHBand="0" w:evenHBand="0" w:firstRowFirstColumn="0" w:firstRowLastColumn="0" w:lastRowFirstColumn="0" w:lastRowLastColumn="0"/>
          <w:trHeight w:hRule="exact" w:val="731"/>
          <w:tblHeader/>
        </w:trPr>
        <w:tc>
          <w:tcPr>
            <w:cnfStyle w:val="001000000000" w:firstRow="0" w:lastRow="0" w:firstColumn="1" w:lastColumn="0" w:oddVBand="0" w:evenVBand="0" w:oddHBand="0" w:evenHBand="0" w:firstRowFirstColumn="0" w:firstRowLastColumn="0" w:lastRowFirstColumn="0" w:lastRowLastColumn="0"/>
            <w:tcW w:w="5822" w:type="dxa"/>
            <w:gridSpan w:val="2"/>
            <w:tcBorders>
              <w:top w:val="single" w:sz="8" w:space="0" w:color="8A002E"/>
              <w:left w:val="single" w:sz="8" w:space="0" w:color="8A002E"/>
              <w:bottom w:val="single" w:sz="8" w:space="0" w:color="8A002E"/>
            </w:tcBorders>
            <w:shd w:val="clear" w:color="auto" w:fill="AB054C"/>
          </w:tcPr>
          <w:p w:rsidR="00B8361D" w:rsidRPr="00CC416C" w:rsidRDefault="00B8361D" w:rsidP="00B8361D">
            <w:pPr>
              <w:widowControl w:val="0"/>
              <w:spacing w:before="0"/>
              <w:rPr>
                <w:rFonts w:eastAsia="Arial"/>
                <w:b/>
                <w:color w:val="FFFFFF" w:themeColor="background1"/>
                <w:sz w:val="24"/>
                <w:szCs w:val="18"/>
              </w:rPr>
            </w:pPr>
            <w:r w:rsidRPr="00CC416C">
              <w:rPr>
                <w:rFonts w:eastAsia="Calibri"/>
                <w:b/>
                <w:caps w:val="0"/>
                <w:color w:val="FFFFFF" w:themeColor="background1"/>
                <w:sz w:val="24"/>
                <w:szCs w:val="22"/>
              </w:rPr>
              <w:lastRenderedPageBreak/>
              <w:t>Summary of</w:t>
            </w:r>
            <w:r w:rsidRPr="00CC416C">
              <w:rPr>
                <w:rFonts w:eastAsia="Calibri"/>
                <w:b/>
                <w:color w:val="FFFFFF" w:themeColor="background1"/>
                <w:spacing w:val="-9"/>
                <w:sz w:val="24"/>
                <w:szCs w:val="22"/>
              </w:rPr>
              <w:t xml:space="preserve"> </w:t>
            </w:r>
            <w:r w:rsidRPr="00CC416C">
              <w:rPr>
                <w:rFonts w:eastAsia="Calibri"/>
                <w:b/>
                <w:caps w:val="0"/>
                <w:color w:val="FFFFFF" w:themeColor="background1"/>
                <w:sz w:val="24"/>
                <w:szCs w:val="22"/>
              </w:rPr>
              <w:t>requirement</w:t>
            </w:r>
          </w:p>
        </w:tc>
        <w:tc>
          <w:tcPr>
            <w:tcW w:w="2835" w:type="dxa"/>
            <w:tcBorders>
              <w:top w:val="single" w:sz="8" w:space="0" w:color="8A002E"/>
              <w:bottom w:val="single" w:sz="8" w:space="0" w:color="8A002E"/>
            </w:tcBorders>
            <w:shd w:val="clear" w:color="auto" w:fill="AB054C"/>
          </w:tcPr>
          <w:p w:rsidR="00B8361D" w:rsidRPr="00CC416C" w:rsidRDefault="00B8361D" w:rsidP="00B8361D">
            <w:pPr>
              <w:widowControl w:val="0"/>
              <w:spacing w:before="0"/>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 w:val="24"/>
                <w:szCs w:val="18"/>
              </w:rPr>
            </w:pPr>
            <w:r w:rsidRPr="00CC416C">
              <w:rPr>
                <w:rFonts w:eastAsia="Calibri"/>
                <w:b/>
                <w:caps w:val="0"/>
                <w:color w:val="FFFFFF" w:themeColor="background1"/>
                <w:sz w:val="24"/>
                <w:szCs w:val="22"/>
              </w:rPr>
              <w:t>Basis for</w:t>
            </w:r>
            <w:r w:rsidRPr="00CC416C">
              <w:rPr>
                <w:rFonts w:eastAsia="Calibri"/>
                <w:b/>
                <w:color w:val="FFFFFF" w:themeColor="background1"/>
                <w:spacing w:val="-7"/>
                <w:sz w:val="24"/>
                <w:szCs w:val="22"/>
              </w:rPr>
              <w:t xml:space="preserve"> </w:t>
            </w:r>
            <w:r w:rsidRPr="00CC416C">
              <w:rPr>
                <w:rFonts w:eastAsia="Calibri"/>
                <w:b/>
                <w:caps w:val="0"/>
                <w:color w:val="FFFFFF" w:themeColor="background1"/>
                <w:sz w:val="24"/>
                <w:szCs w:val="22"/>
              </w:rPr>
              <w:t>requirement</w:t>
            </w:r>
          </w:p>
        </w:tc>
        <w:tc>
          <w:tcPr>
            <w:tcW w:w="1418" w:type="dxa"/>
            <w:tcBorders>
              <w:top w:val="single" w:sz="8" w:space="0" w:color="8A002E"/>
              <w:bottom w:val="single" w:sz="8" w:space="0" w:color="8A002E"/>
              <w:right w:val="single" w:sz="8" w:space="0" w:color="8A002E"/>
            </w:tcBorders>
            <w:shd w:val="clear" w:color="auto" w:fill="AB054C"/>
          </w:tcPr>
          <w:p w:rsidR="00B8361D" w:rsidRPr="00CC416C" w:rsidRDefault="00B8361D" w:rsidP="00B8361D">
            <w:pPr>
              <w:widowControl w:val="0"/>
              <w:spacing w:before="0"/>
              <w:ind w:right="130"/>
              <w:cnfStyle w:val="100000000000" w:firstRow="1" w:lastRow="0" w:firstColumn="0" w:lastColumn="0" w:oddVBand="0" w:evenVBand="0" w:oddHBand="0" w:evenHBand="0" w:firstRowFirstColumn="0" w:firstRowLastColumn="0" w:lastRowFirstColumn="0" w:lastRowLastColumn="0"/>
              <w:rPr>
                <w:rFonts w:eastAsia="Arial"/>
                <w:b/>
                <w:color w:val="FFFFFF" w:themeColor="background1"/>
                <w:sz w:val="24"/>
                <w:szCs w:val="18"/>
              </w:rPr>
            </w:pPr>
            <w:r>
              <w:rPr>
                <w:rFonts w:eastAsia="Calibri"/>
                <w:b/>
                <w:caps w:val="0"/>
                <w:color w:val="FFFFFF" w:themeColor="background1"/>
                <w:sz w:val="24"/>
                <w:szCs w:val="22"/>
              </w:rPr>
              <w:t>P</w:t>
            </w:r>
            <w:r w:rsidRPr="00CC416C">
              <w:rPr>
                <w:rFonts w:eastAsia="Calibri"/>
                <w:b/>
                <w:caps w:val="0"/>
                <w:color w:val="FFFFFF" w:themeColor="background1"/>
                <w:sz w:val="24"/>
                <w:szCs w:val="22"/>
              </w:rPr>
              <w:t>age reference</w:t>
            </w:r>
          </w:p>
        </w:tc>
      </w:tr>
      <w:tr w:rsidR="00B8361D" w:rsidRPr="00341581" w:rsidTr="00B8361D">
        <w:trPr>
          <w:trHeight w:val="680"/>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bottom w:val="single" w:sz="12" w:space="0" w:color="AB054C"/>
            </w:tcBorders>
          </w:tcPr>
          <w:p w:rsidR="00B8361D" w:rsidRDefault="00B8361D" w:rsidP="00B8361D">
            <w:pPr>
              <w:widowControl w:val="0"/>
              <w:spacing w:after="120"/>
              <w:ind w:left="0"/>
              <w:rPr>
                <w:rFonts w:eastAsia="Calibri"/>
                <w:sz w:val="18"/>
                <w:szCs w:val="22"/>
              </w:rPr>
            </w:pPr>
            <w:r w:rsidRPr="008E12A4">
              <w:rPr>
                <w:rFonts w:eastAsia="Calibri"/>
                <w:sz w:val="18"/>
                <w:szCs w:val="22"/>
              </w:rPr>
              <w:t>Governance – risk management and accountabilit</w:t>
            </w:r>
            <w:r w:rsidRPr="00461AF6">
              <w:rPr>
                <w:rFonts w:eastAsia="Calibri"/>
                <w:sz w:val="18"/>
                <w:szCs w:val="22"/>
              </w:rPr>
              <w:t>y</w:t>
            </w:r>
          </w:p>
        </w:tc>
        <w:tc>
          <w:tcPr>
            <w:tcW w:w="4120" w:type="dxa"/>
            <w:tcBorders>
              <w:top w:val="single" w:sz="12" w:space="0" w:color="AB054C"/>
              <w:bottom w:val="single" w:sz="8" w:space="0" w:color="AB054C"/>
            </w:tcBorders>
          </w:tcPr>
          <w:p w:rsidR="00B8361D" w:rsidRPr="008E12A4"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sidRPr="008E12A4">
              <w:rPr>
                <w:rFonts w:eastAsia="Calibri"/>
                <w:sz w:val="18"/>
                <w:szCs w:val="22"/>
              </w:rPr>
              <w:t>Risk management</w:t>
            </w:r>
          </w:p>
        </w:tc>
        <w:tc>
          <w:tcPr>
            <w:tcW w:w="2835" w:type="dxa"/>
            <w:tcBorders>
              <w:top w:val="single" w:sz="12" w:space="0" w:color="AB054C"/>
              <w:bottom w:val="single" w:sz="8" w:space="0" w:color="AB054C"/>
            </w:tcBorders>
          </w:tcPr>
          <w:p w:rsidR="00B8361D" w:rsidRPr="00472174" w:rsidRDefault="00B8361D" w:rsidP="00B8361D">
            <w:pPr>
              <w:widowControl w:val="0"/>
              <w:spacing w:after="120"/>
              <w:ind w:left="106" w:right="1069"/>
              <w:cnfStyle w:val="000000000000" w:firstRow="0" w:lastRow="0" w:firstColumn="0" w:lastColumn="0" w:oddVBand="0" w:evenVBand="0" w:oddHBand="0" w:evenHBand="0" w:firstRowFirstColumn="0" w:firstRowLastColumn="0" w:lastRowFirstColumn="0" w:lastRowLastColumn="0"/>
              <w:rPr>
                <w:rFonts w:eastAsia="Calibri"/>
                <w:sz w:val="18"/>
                <w:szCs w:val="22"/>
              </w:rPr>
            </w:pPr>
            <w:r w:rsidRPr="008E12A4">
              <w:rPr>
                <w:rFonts w:eastAsia="Calibri"/>
                <w:sz w:val="18"/>
                <w:szCs w:val="22"/>
              </w:rPr>
              <w:t>ARRs – section 15.1</w:t>
            </w:r>
          </w:p>
        </w:tc>
        <w:tc>
          <w:tcPr>
            <w:tcW w:w="1418" w:type="dxa"/>
            <w:tcBorders>
              <w:top w:val="single" w:sz="12" w:space="0" w:color="AB054C"/>
              <w:bottom w:val="single" w:sz="8"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9-10</w:t>
            </w:r>
          </w:p>
        </w:tc>
      </w:tr>
      <w:tr w:rsidR="00B8361D" w:rsidRPr="00341581" w:rsidTr="00B8361D">
        <w:trPr>
          <w:trHeight w:val="680"/>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Pr="00341581" w:rsidRDefault="00B8361D" w:rsidP="00B8361D">
            <w:pPr>
              <w:spacing w:after="120"/>
              <w:rPr>
                <w:rFonts w:eastAsia="Calibri"/>
              </w:rPr>
            </w:pPr>
          </w:p>
        </w:tc>
        <w:tc>
          <w:tcPr>
            <w:tcW w:w="4120" w:type="dxa"/>
            <w:tcBorders>
              <w:top w:val="single" w:sz="8" w:space="0" w:color="AB054C"/>
              <w:bottom w:val="single" w:sz="8" w:space="0" w:color="AB054C"/>
            </w:tcBorders>
          </w:tcPr>
          <w:p w:rsidR="00B8361D" w:rsidRPr="00341581" w:rsidRDefault="00B8361D" w:rsidP="00B8361D">
            <w:pPr>
              <w:widowControl w:val="0"/>
              <w:numPr>
                <w:ilvl w:val="0"/>
                <w:numId w:val="16"/>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Calibri"/>
                <w:sz w:val="18"/>
                <w:szCs w:val="22"/>
              </w:rPr>
              <w:t>Audit committee</w:t>
            </w:r>
          </w:p>
        </w:tc>
        <w:tc>
          <w:tcPr>
            <w:tcW w:w="2835" w:type="dxa"/>
            <w:tcBorders>
              <w:top w:val="single" w:sz="8" w:space="0" w:color="AB054C"/>
              <w:bottom w:val="single" w:sz="8" w:space="0" w:color="AB054C"/>
            </w:tcBorders>
          </w:tcPr>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15.2</w:t>
            </w:r>
          </w:p>
        </w:tc>
        <w:tc>
          <w:tcPr>
            <w:tcW w:w="1418" w:type="dxa"/>
            <w:tcBorders>
              <w:top w:val="single" w:sz="8" w:space="0" w:color="AB054C"/>
              <w:bottom w:val="single" w:sz="8"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9-10</w:t>
            </w:r>
          </w:p>
        </w:tc>
      </w:tr>
      <w:tr w:rsidR="00B8361D" w:rsidRPr="00341581" w:rsidTr="00B8361D">
        <w:trPr>
          <w:trHeight w:val="680"/>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Pr="00341581" w:rsidRDefault="00B8361D" w:rsidP="00B8361D">
            <w:pPr>
              <w:spacing w:after="120"/>
              <w:rPr>
                <w:rFonts w:eastAsia="Calibri"/>
              </w:rPr>
            </w:pPr>
          </w:p>
        </w:tc>
        <w:tc>
          <w:tcPr>
            <w:tcW w:w="4120" w:type="dxa"/>
            <w:tcBorders>
              <w:top w:val="single" w:sz="8" w:space="0" w:color="AB054C"/>
              <w:bottom w:val="single" w:sz="8" w:space="0" w:color="AB054C"/>
            </w:tcBorders>
          </w:tcPr>
          <w:p w:rsidR="00B8361D" w:rsidRPr="00341581" w:rsidRDefault="00B8361D" w:rsidP="00B8361D">
            <w:pPr>
              <w:widowControl w:val="0"/>
              <w:numPr>
                <w:ilvl w:val="0"/>
                <w:numId w:val="15"/>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Calibri"/>
                <w:sz w:val="18"/>
                <w:szCs w:val="22"/>
              </w:rPr>
              <w:t>Internal audit</w:t>
            </w:r>
          </w:p>
        </w:tc>
        <w:tc>
          <w:tcPr>
            <w:tcW w:w="2835" w:type="dxa"/>
            <w:tcBorders>
              <w:top w:val="single" w:sz="8" w:space="0" w:color="AB054C"/>
              <w:bottom w:val="single" w:sz="8" w:space="0" w:color="AB054C"/>
            </w:tcBorders>
          </w:tcPr>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15.3</w:t>
            </w:r>
          </w:p>
        </w:tc>
        <w:tc>
          <w:tcPr>
            <w:tcW w:w="1418" w:type="dxa"/>
            <w:tcBorders>
              <w:top w:val="single" w:sz="8" w:space="0" w:color="AB054C"/>
              <w:bottom w:val="single" w:sz="8" w:space="0" w:color="AB054C"/>
            </w:tcBorders>
          </w:tcPr>
          <w:p w:rsidR="00B8361D" w:rsidRPr="00CB1752" w:rsidRDefault="00CB1752" w:rsidP="00CB1752">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39-4</w:t>
            </w:r>
            <w:r>
              <w:rPr>
                <w:rFonts w:eastAsia="Arial"/>
                <w:sz w:val="18"/>
                <w:szCs w:val="18"/>
              </w:rPr>
              <w:t>0</w:t>
            </w:r>
          </w:p>
        </w:tc>
      </w:tr>
      <w:tr w:rsidR="00B8361D" w:rsidRPr="00341581" w:rsidTr="00B8361D">
        <w:trPr>
          <w:trHeight w:val="680"/>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Pr="00341581" w:rsidRDefault="00B8361D" w:rsidP="00B8361D">
            <w:pPr>
              <w:spacing w:after="120"/>
              <w:rPr>
                <w:rFonts w:eastAsia="Calibri"/>
              </w:rPr>
            </w:pPr>
          </w:p>
        </w:tc>
        <w:tc>
          <w:tcPr>
            <w:tcW w:w="4120" w:type="dxa"/>
            <w:tcBorders>
              <w:top w:val="single" w:sz="8" w:space="0" w:color="AB054C"/>
              <w:bottom w:val="single" w:sz="8" w:space="0" w:color="AB054C"/>
            </w:tcBorders>
          </w:tcPr>
          <w:p w:rsidR="00B8361D" w:rsidRPr="00341581" w:rsidRDefault="00B8361D" w:rsidP="00B8361D">
            <w:pPr>
              <w:widowControl w:val="0"/>
              <w:numPr>
                <w:ilvl w:val="0"/>
                <w:numId w:val="14"/>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0049F8">
              <w:rPr>
                <w:rFonts w:eastAsia="Calibri"/>
                <w:sz w:val="18"/>
                <w:szCs w:val="22"/>
              </w:rPr>
              <w:t>External Scrutiny</w:t>
            </w:r>
          </w:p>
        </w:tc>
        <w:tc>
          <w:tcPr>
            <w:tcW w:w="2835" w:type="dxa"/>
            <w:tcBorders>
              <w:top w:val="single" w:sz="8" w:space="0" w:color="AB054C"/>
              <w:bottom w:val="single" w:sz="8" w:space="0" w:color="AB054C"/>
            </w:tcBorders>
          </w:tcPr>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472174">
              <w:rPr>
                <w:rFonts w:eastAsia="Calibri"/>
                <w:sz w:val="18"/>
                <w:szCs w:val="22"/>
              </w:rPr>
              <w:t xml:space="preserve">ARRs – section </w:t>
            </w:r>
            <w:r>
              <w:rPr>
                <w:rFonts w:eastAsia="Calibri"/>
                <w:sz w:val="18"/>
                <w:szCs w:val="22"/>
              </w:rPr>
              <w:t>15.4</w:t>
            </w:r>
          </w:p>
        </w:tc>
        <w:tc>
          <w:tcPr>
            <w:tcW w:w="1418" w:type="dxa"/>
            <w:tcBorders>
              <w:top w:val="single" w:sz="8" w:space="0" w:color="AB054C"/>
              <w:bottom w:val="single" w:sz="8"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37-39</w:t>
            </w:r>
          </w:p>
        </w:tc>
      </w:tr>
      <w:tr w:rsidR="00B8361D" w:rsidRPr="00341581" w:rsidTr="00B8361D">
        <w:trPr>
          <w:trHeight w:val="680"/>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Pr="00341581" w:rsidRDefault="00B8361D" w:rsidP="00B8361D">
            <w:pPr>
              <w:spacing w:after="120"/>
              <w:rPr>
                <w:rFonts w:eastAsia="Calibri"/>
              </w:rPr>
            </w:pPr>
          </w:p>
        </w:tc>
        <w:tc>
          <w:tcPr>
            <w:tcW w:w="4120" w:type="dxa"/>
            <w:tcBorders>
              <w:top w:val="single" w:sz="8" w:space="0" w:color="AB054C"/>
              <w:bottom w:val="single" w:sz="12" w:space="0" w:color="AB054C"/>
            </w:tcBorders>
          </w:tcPr>
          <w:p w:rsidR="00B8361D" w:rsidRPr="00341581" w:rsidRDefault="00B8361D" w:rsidP="00B8361D">
            <w:pPr>
              <w:widowControl w:val="0"/>
              <w:numPr>
                <w:ilvl w:val="0"/>
                <w:numId w:val="13"/>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Calibri"/>
                <w:sz w:val="18"/>
                <w:szCs w:val="22"/>
              </w:rPr>
              <w:t>Information systems and recordkeeping</w:t>
            </w:r>
          </w:p>
        </w:tc>
        <w:tc>
          <w:tcPr>
            <w:tcW w:w="2835" w:type="dxa"/>
            <w:tcBorders>
              <w:top w:val="single" w:sz="8" w:space="0" w:color="AB054C"/>
              <w:bottom w:val="single" w:sz="12" w:space="0" w:color="AB054C"/>
            </w:tcBorders>
          </w:tcPr>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15.5</w:t>
            </w:r>
          </w:p>
        </w:tc>
        <w:tc>
          <w:tcPr>
            <w:tcW w:w="1418" w:type="dxa"/>
            <w:tcBorders>
              <w:top w:val="single" w:sz="8" w:space="0" w:color="AB054C"/>
              <w:bottom w:val="single" w:sz="12"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40</w:t>
            </w:r>
          </w:p>
        </w:tc>
      </w:tr>
      <w:tr w:rsidR="00B8361D" w:rsidRPr="00341581" w:rsidTr="00B8361D">
        <w:trPr>
          <w:trHeight w:hRule="exact" w:val="714"/>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tcBorders>
          </w:tcPr>
          <w:p w:rsidR="00B8361D" w:rsidRDefault="00B8361D" w:rsidP="00B8361D">
            <w:pPr>
              <w:widowControl w:val="0"/>
              <w:spacing w:after="120"/>
              <w:ind w:left="103"/>
              <w:rPr>
                <w:rFonts w:eastAsia="Calibri"/>
                <w:sz w:val="18"/>
                <w:szCs w:val="22"/>
              </w:rPr>
            </w:pPr>
            <w:r>
              <w:rPr>
                <w:rFonts w:eastAsia="Calibri"/>
                <w:sz w:val="18"/>
                <w:szCs w:val="22"/>
              </w:rPr>
              <w:t>Governance – human resources</w:t>
            </w:r>
          </w:p>
        </w:tc>
        <w:tc>
          <w:tcPr>
            <w:tcW w:w="4120" w:type="dxa"/>
            <w:tcBorders>
              <w:top w:val="single" w:sz="12" w:space="0" w:color="AB054C"/>
              <w:bottom w:val="single" w:sz="8" w:space="0" w:color="AB054C"/>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Workforce planning and performance</w:t>
            </w:r>
          </w:p>
        </w:tc>
        <w:tc>
          <w:tcPr>
            <w:tcW w:w="2835" w:type="dxa"/>
            <w:tcBorders>
              <w:top w:val="single" w:sz="12" w:space="0" w:color="AB054C"/>
              <w:bottom w:val="single" w:sz="8" w:space="0" w:color="AB054C"/>
            </w:tcBorders>
          </w:tcPr>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16.1</w:t>
            </w:r>
          </w:p>
        </w:tc>
        <w:tc>
          <w:tcPr>
            <w:tcW w:w="1418" w:type="dxa"/>
            <w:tcBorders>
              <w:top w:val="single" w:sz="12" w:space="0" w:color="AB054C"/>
              <w:bottom w:val="single" w:sz="8" w:space="0" w:color="AB054C"/>
            </w:tcBorders>
          </w:tcPr>
          <w:p w:rsidR="00B8361D" w:rsidRPr="00CB1752" w:rsidRDefault="00CB1752" w:rsidP="00193338">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4</w:t>
            </w:r>
            <w:r w:rsidR="00193338">
              <w:rPr>
                <w:rFonts w:eastAsia="Arial"/>
                <w:sz w:val="18"/>
                <w:szCs w:val="18"/>
              </w:rPr>
              <w:t>1</w:t>
            </w:r>
            <w:r>
              <w:rPr>
                <w:rFonts w:eastAsia="Arial"/>
                <w:sz w:val="18"/>
                <w:szCs w:val="18"/>
              </w:rPr>
              <w:t>-4</w:t>
            </w:r>
            <w:r w:rsidR="00193338">
              <w:rPr>
                <w:rFonts w:eastAsia="Arial"/>
                <w:sz w:val="18"/>
                <w:szCs w:val="18"/>
              </w:rPr>
              <w:t>3</w:t>
            </w:r>
          </w:p>
        </w:tc>
      </w:tr>
      <w:tr w:rsidR="00B8361D" w:rsidRPr="00341581" w:rsidTr="00B8361D">
        <w:trPr>
          <w:trHeight w:hRule="exact" w:val="1254"/>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Default="00B8361D" w:rsidP="00B8361D">
            <w:pPr>
              <w:widowControl w:val="0"/>
              <w:spacing w:after="120"/>
              <w:ind w:left="103"/>
              <w:rPr>
                <w:rFonts w:eastAsia="Calibri"/>
                <w:sz w:val="18"/>
                <w:szCs w:val="22"/>
              </w:rPr>
            </w:pPr>
          </w:p>
        </w:tc>
        <w:tc>
          <w:tcPr>
            <w:tcW w:w="4120" w:type="dxa"/>
            <w:tcBorders>
              <w:top w:val="single" w:sz="8" w:space="0" w:color="AB054C"/>
              <w:bottom w:val="single" w:sz="12" w:space="0" w:color="AB054C"/>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Early retirement, redundancy and retrenchment</w:t>
            </w:r>
          </w:p>
        </w:tc>
        <w:tc>
          <w:tcPr>
            <w:tcW w:w="2835" w:type="dxa"/>
            <w:tcBorders>
              <w:top w:val="single" w:sz="8" w:space="0" w:color="AB054C"/>
              <w:bottom w:val="single" w:sz="12" w:space="0" w:color="AB054C"/>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 xml:space="preserve">Directive No. 11/12 </w:t>
            </w:r>
            <w:r w:rsidRPr="00652B39">
              <w:rPr>
                <w:rFonts w:eastAsia="Arial"/>
                <w:i/>
                <w:sz w:val="18"/>
                <w:szCs w:val="18"/>
              </w:rPr>
              <w:t>Early Retirement, Redundancy and Retrenchment</w:t>
            </w:r>
          </w:p>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16.2</w:t>
            </w:r>
          </w:p>
        </w:tc>
        <w:tc>
          <w:tcPr>
            <w:tcW w:w="1418" w:type="dxa"/>
            <w:tcBorders>
              <w:top w:val="single" w:sz="8" w:space="0" w:color="AB054C"/>
              <w:bottom w:val="single" w:sz="12"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43</w:t>
            </w:r>
          </w:p>
        </w:tc>
      </w:tr>
      <w:tr w:rsidR="00B8361D" w:rsidRPr="00341581" w:rsidTr="00B8361D">
        <w:trPr>
          <w:trHeight w:val="624"/>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tcBorders>
          </w:tcPr>
          <w:p w:rsidR="00B8361D" w:rsidRDefault="00B8361D" w:rsidP="00B8361D">
            <w:pPr>
              <w:widowControl w:val="0"/>
              <w:spacing w:after="120"/>
              <w:ind w:left="103"/>
              <w:rPr>
                <w:rFonts w:eastAsia="Calibri"/>
                <w:sz w:val="18"/>
                <w:szCs w:val="22"/>
              </w:rPr>
            </w:pPr>
            <w:r>
              <w:rPr>
                <w:rFonts w:eastAsia="Calibri"/>
                <w:sz w:val="18"/>
                <w:szCs w:val="22"/>
              </w:rPr>
              <w:t>Open data</w:t>
            </w:r>
          </w:p>
        </w:tc>
        <w:tc>
          <w:tcPr>
            <w:tcW w:w="4120" w:type="dxa"/>
            <w:tcBorders>
              <w:top w:val="single" w:sz="12" w:space="0" w:color="AB054C"/>
              <w:bottom w:val="single" w:sz="8" w:space="0" w:color="AB054C"/>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Consultancies</w:t>
            </w:r>
          </w:p>
        </w:tc>
        <w:tc>
          <w:tcPr>
            <w:tcW w:w="2835" w:type="dxa"/>
            <w:tcBorders>
              <w:top w:val="single" w:sz="12" w:space="0" w:color="AB054C"/>
              <w:bottom w:val="single" w:sz="8" w:space="0" w:color="AB054C"/>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17</w:t>
            </w:r>
          </w:p>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34.1</w:t>
            </w:r>
          </w:p>
        </w:tc>
        <w:tc>
          <w:tcPr>
            <w:tcW w:w="1418" w:type="dxa"/>
            <w:tcBorders>
              <w:top w:val="single" w:sz="12" w:space="0" w:color="AB054C"/>
              <w:bottom w:val="single" w:sz="8"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1</w:t>
            </w:r>
          </w:p>
        </w:tc>
      </w:tr>
      <w:tr w:rsidR="00B8361D" w:rsidRPr="00341581" w:rsidTr="00B8361D">
        <w:trPr>
          <w:trHeight w:val="624"/>
        </w:trPr>
        <w:tc>
          <w:tcPr>
            <w:cnfStyle w:val="001000000000" w:firstRow="0" w:lastRow="0" w:firstColumn="1" w:lastColumn="0" w:oddVBand="0" w:evenVBand="0" w:oddHBand="0" w:evenHBand="0" w:firstRowFirstColumn="0" w:firstRowLastColumn="0" w:lastRowFirstColumn="0" w:lastRowLastColumn="0"/>
            <w:tcW w:w="1702" w:type="dxa"/>
            <w:vMerge/>
          </w:tcPr>
          <w:p w:rsidR="00B8361D" w:rsidRDefault="00B8361D" w:rsidP="00B8361D">
            <w:pPr>
              <w:widowControl w:val="0"/>
              <w:spacing w:after="120"/>
              <w:ind w:left="103"/>
              <w:rPr>
                <w:rFonts w:eastAsia="Calibri"/>
                <w:sz w:val="18"/>
                <w:szCs w:val="22"/>
              </w:rPr>
            </w:pPr>
          </w:p>
        </w:tc>
        <w:tc>
          <w:tcPr>
            <w:tcW w:w="4120" w:type="dxa"/>
            <w:tcBorders>
              <w:top w:val="single" w:sz="8" w:space="0" w:color="AB054C"/>
              <w:bottom w:val="single" w:sz="8" w:space="0" w:color="AB054C"/>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Overseas travel</w:t>
            </w:r>
          </w:p>
        </w:tc>
        <w:tc>
          <w:tcPr>
            <w:tcW w:w="2835" w:type="dxa"/>
            <w:tcBorders>
              <w:top w:val="single" w:sz="8" w:space="0" w:color="AB054C"/>
              <w:bottom w:val="single" w:sz="8" w:space="0" w:color="AB054C"/>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17</w:t>
            </w:r>
          </w:p>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34.2</w:t>
            </w:r>
          </w:p>
        </w:tc>
        <w:tc>
          <w:tcPr>
            <w:tcW w:w="1418" w:type="dxa"/>
            <w:tcBorders>
              <w:top w:val="single" w:sz="8" w:space="0" w:color="AB054C"/>
              <w:bottom w:val="single" w:sz="8" w:space="0" w:color="AB054C"/>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1</w:t>
            </w:r>
          </w:p>
        </w:tc>
      </w:tr>
      <w:tr w:rsidR="00B8361D" w:rsidRPr="00341581" w:rsidTr="00B8361D">
        <w:trPr>
          <w:trHeight w:val="624"/>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AB054C"/>
            </w:tcBorders>
          </w:tcPr>
          <w:p w:rsidR="00B8361D" w:rsidRDefault="00B8361D" w:rsidP="00B8361D">
            <w:pPr>
              <w:widowControl w:val="0"/>
              <w:spacing w:after="120"/>
              <w:ind w:left="103"/>
              <w:rPr>
                <w:rFonts w:eastAsia="Calibri"/>
                <w:sz w:val="18"/>
                <w:szCs w:val="22"/>
              </w:rPr>
            </w:pPr>
          </w:p>
        </w:tc>
        <w:tc>
          <w:tcPr>
            <w:tcW w:w="4120" w:type="dxa"/>
            <w:tcBorders>
              <w:top w:val="single" w:sz="8" w:space="0" w:color="AB054C"/>
              <w:bottom w:val="single" w:sz="12" w:space="0" w:color="AB054C"/>
              <w:right w:val="nil"/>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sidRPr="00161846">
              <w:rPr>
                <w:rFonts w:eastAsia="Calibri"/>
                <w:sz w:val="18"/>
                <w:szCs w:val="22"/>
              </w:rPr>
              <w:t>Queensland Language Services Policy</w:t>
            </w:r>
          </w:p>
        </w:tc>
        <w:tc>
          <w:tcPr>
            <w:tcW w:w="2835" w:type="dxa"/>
            <w:tcBorders>
              <w:top w:val="single" w:sz="8" w:space="0" w:color="AB054C"/>
              <w:left w:val="nil"/>
              <w:bottom w:val="single" w:sz="12" w:space="0" w:color="AB054C"/>
              <w:right w:val="nil"/>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17</w:t>
            </w:r>
          </w:p>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34.3</w:t>
            </w:r>
          </w:p>
        </w:tc>
        <w:tc>
          <w:tcPr>
            <w:tcW w:w="1418" w:type="dxa"/>
            <w:tcBorders>
              <w:top w:val="single" w:sz="8" w:space="0" w:color="AB054C"/>
              <w:left w:val="nil"/>
              <w:bottom w:val="single" w:sz="12" w:space="0" w:color="AB054C"/>
              <w:right w:val="nil"/>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1</w:t>
            </w:r>
          </w:p>
        </w:tc>
      </w:tr>
      <w:tr w:rsidR="00B8361D" w:rsidRPr="00341581" w:rsidTr="00B8361D">
        <w:trPr>
          <w:trHeight w:val="907"/>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12" w:space="0" w:color="AB054C"/>
            </w:tcBorders>
          </w:tcPr>
          <w:p w:rsidR="00B8361D" w:rsidRDefault="00B8361D" w:rsidP="00B8361D">
            <w:pPr>
              <w:widowControl w:val="0"/>
              <w:spacing w:after="120"/>
              <w:ind w:left="103"/>
              <w:rPr>
                <w:rFonts w:eastAsia="Calibri"/>
                <w:sz w:val="18"/>
                <w:szCs w:val="22"/>
              </w:rPr>
            </w:pPr>
            <w:r>
              <w:rPr>
                <w:rFonts w:eastAsia="Calibri"/>
                <w:sz w:val="18"/>
                <w:szCs w:val="22"/>
              </w:rPr>
              <w:t>Financial statements</w:t>
            </w:r>
          </w:p>
        </w:tc>
        <w:tc>
          <w:tcPr>
            <w:tcW w:w="4120" w:type="dxa"/>
            <w:tcBorders>
              <w:top w:val="single" w:sz="12" w:space="0" w:color="AB054C"/>
              <w:bottom w:val="single" w:sz="8" w:space="0" w:color="8A002E"/>
            </w:tcBorders>
          </w:tcPr>
          <w:p w:rsidR="00B8361D" w:rsidRPr="00341581"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Certification of financial statements</w:t>
            </w:r>
          </w:p>
        </w:tc>
        <w:tc>
          <w:tcPr>
            <w:tcW w:w="2835" w:type="dxa"/>
            <w:tcBorders>
              <w:top w:val="single" w:sz="12" w:space="0" w:color="AB054C"/>
              <w:bottom w:val="single" w:sz="8" w:space="0" w:color="8A002E"/>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FAA – section 62</w:t>
            </w:r>
          </w:p>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FPMS – sections 42, 43 and 50</w:t>
            </w:r>
          </w:p>
          <w:p w:rsidR="00B8361D" w:rsidRPr="00341581"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18.2</w:t>
            </w:r>
          </w:p>
        </w:tc>
        <w:tc>
          <w:tcPr>
            <w:tcW w:w="1418" w:type="dxa"/>
            <w:tcBorders>
              <w:top w:val="single" w:sz="12" w:space="0" w:color="AB054C"/>
              <w:bottom w:val="single" w:sz="8" w:space="0" w:color="8A002E"/>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CB1752">
              <w:rPr>
                <w:rFonts w:eastAsia="Arial"/>
                <w:sz w:val="18"/>
                <w:szCs w:val="18"/>
              </w:rPr>
              <w:t>60</w:t>
            </w:r>
          </w:p>
        </w:tc>
      </w:tr>
      <w:tr w:rsidR="00B8361D" w:rsidRPr="00341581" w:rsidTr="00B8361D">
        <w:trPr>
          <w:trHeight w:val="907"/>
        </w:trPr>
        <w:tc>
          <w:tcPr>
            <w:cnfStyle w:val="001000000000" w:firstRow="0" w:lastRow="0" w:firstColumn="1" w:lastColumn="0" w:oddVBand="0" w:evenVBand="0" w:oddHBand="0" w:evenHBand="0" w:firstRowFirstColumn="0" w:firstRowLastColumn="0" w:lastRowFirstColumn="0" w:lastRowLastColumn="0"/>
            <w:tcW w:w="1702" w:type="dxa"/>
            <w:vMerge/>
            <w:tcBorders>
              <w:bottom w:val="single" w:sz="12" w:space="0" w:color="8A002E"/>
            </w:tcBorders>
          </w:tcPr>
          <w:p w:rsidR="00B8361D" w:rsidRDefault="00B8361D" w:rsidP="00B8361D">
            <w:pPr>
              <w:widowControl w:val="0"/>
              <w:spacing w:after="120"/>
              <w:ind w:left="103"/>
              <w:rPr>
                <w:rFonts w:eastAsia="Calibri"/>
                <w:sz w:val="18"/>
                <w:szCs w:val="22"/>
              </w:rPr>
            </w:pPr>
          </w:p>
        </w:tc>
        <w:tc>
          <w:tcPr>
            <w:tcW w:w="4120" w:type="dxa"/>
            <w:tcBorders>
              <w:top w:val="single" w:sz="8" w:space="0" w:color="8A002E"/>
              <w:bottom w:val="single" w:sz="12" w:space="0" w:color="8A002E"/>
            </w:tcBorders>
          </w:tcPr>
          <w:p w:rsidR="00B8361D" w:rsidRDefault="00B8361D" w:rsidP="00B8361D">
            <w:pPr>
              <w:widowControl w:val="0"/>
              <w:numPr>
                <w:ilvl w:val="0"/>
                <w:numId w:val="12"/>
              </w:numPr>
              <w:tabs>
                <w:tab w:val="left" w:pos="356"/>
              </w:tabs>
              <w:spacing w:after="120"/>
              <w:ind w:right="141" w:hanging="249"/>
              <w:cnfStyle w:val="000000000000" w:firstRow="0" w:lastRow="0" w:firstColumn="0" w:lastColumn="0" w:oddVBand="0" w:evenVBand="0" w:oddHBand="0" w:evenHBand="0" w:firstRowFirstColumn="0" w:firstRowLastColumn="0" w:lastRowFirstColumn="0" w:lastRowLastColumn="0"/>
              <w:rPr>
                <w:rFonts w:eastAsia="Calibri"/>
                <w:sz w:val="18"/>
                <w:szCs w:val="22"/>
              </w:rPr>
            </w:pPr>
            <w:r>
              <w:rPr>
                <w:rFonts w:eastAsia="Calibri"/>
                <w:sz w:val="18"/>
                <w:szCs w:val="22"/>
              </w:rPr>
              <w:t>Independent Auditor’s Report</w:t>
            </w:r>
          </w:p>
        </w:tc>
        <w:tc>
          <w:tcPr>
            <w:tcW w:w="2835" w:type="dxa"/>
            <w:tcBorders>
              <w:top w:val="single" w:sz="8" w:space="0" w:color="8A002E"/>
              <w:bottom w:val="single" w:sz="12" w:space="0" w:color="8A002E"/>
            </w:tcBorders>
          </w:tcPr>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FAA – section 62</w:t>
            </w:r>
          </w:p>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FPMS – section 50</w:t>
            </w:r>
          </w:p>
          <w:p w:rsidR="00B8361D" w:rsidRDefault="00B8361D" w:rsidP="00B8361D">
            <w:pPr>
              <w:widowControl w:val="0"/>
              <w:spacing w:after="120"/>
              <w:ind w:left="103"/>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ARRs – section 18.2</w:t>
            </w:r>
          </w:p>
        </w:tc>
        <w:tc>
          <w:tcPr>
            <w:tcW w:w="1418" w:type="dxa"/>
            <w:tcBorders>
              <w:top w:val="single" w:sz="8" w:space="0" w:color="8A002E"/>
              <w:bottom w:val="single" w:sz="12" w:space="0" w:color="8A002E"/>
            </w:tcBorders>
          </w:tcPr>
          <w:p w:rsidR="00B8361D" w:rsidRPr="00CB1752" w:rsidRDefault="00CB1752" w:rsidP="00B8361D">
            <w:pPr>
              <w:widowControl w:val="0"/>
              <w:spacing w:after="120"/>
              <w:ind w:left="4"/>
              <w:jc w:val="cente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61-62</w:t>
            </w:r>
          </w:p>
        </w:tc>
      </w:tr>
    </w:tbl>
    <w:p w:rsidR="00461AF6" w:rsidRDefault="00B8361D" w:rsidP="00461AF6">
      <w:pPr>
        <w:pStyle w:val="Default"/>
        <w:tabs>
          <w:tab w:val="left" w:pos="851"/>
        </w:tabs>
        <w:rPr>
          <w:rFonts w:ascii="Arial Bold" w:eastAsia="Times New Roman" w:hAnsi="Arial Bold"/>
          <w:b/>
          <w:i/>
          <w:color w:val="AB054C"/>
          <w:sz w:val="36"/>
          <w14:ligatures w14:val="standardContextual"/>
        </w:rPr>
      </w:pPr>
      <w:r>
        <w:t xml:space="preserve"> </w:t>
      </w:r>
      <w:r w:rsidR="00461AF6">
        <w:br w:type="page"/>
      </w:r>
    </w:p>
    <w:p w:rsidR="007A4AD3" w:rsidRPr="006E1C5C" w:rsidRDefault="007A4AD3" w:rsidP="00C60996">
      <w:pPr>
        <w:pStyle w:val="Heading2"/>
      </w:pPr>
      <w:bookmarkStart w:id="298" w:name="_Toc460406700"/>
      <w:bookmarkStart w:id="299" w:name="_Toc460406850"/>
      <w:bookmarkStart w:id="300" w:name="_Toc460406886"/>
      <w:bookmarkStart w:id="301" w:name="_Toc460406965"/>
      <w:bookmarkStart w:id="302" w:name="_Toc460407079"/>
      <w:bookmarkStart w:id="303" w:name="_Toc460487982"/>
      <w:r w:rsidRPr="007C2B1C">
        <w:lastRenderedPageBreak/>
        <w:t>Contacts and key locations</w:t>
      </w:r>
      <w:bookmarkEnd w:id="293"/>
      <w:bookmarkEnd w:id="294"/>
      <w:bookmarkEnd w:id="295"/>
      <w:bookmarkEnd w:id="296"/>
      <w:bookmarkEnd w:id="297"/>
      <w:bookmarkEnd w:id="298"/>
      <w:bookmarkEnd w:id="299"/>
      <w:bookmarkEnd w:id="300"/>
      <w:bookmarkEnd w:id="301"/>
      <w:bookmarkEnd w:id="302"/>
      <w:bookmarkEnd w:id="303"/>
    </w:p>
    <w:tbl>
      <w:tblPr>
        <w:tblW w:w="9958" w:type="dxa"/>
        <w:tblInd w:w="107" w:type="dxa"/>
        <w:tblLayout w:type="fixed"/>
        <w:tblCellMar>
          <w:left w:w="0" w:type="dxa"/>
          <w:right w:w="0" w:type="dxa"/>
        </w:tblCellMar>
        <w:tblLook w:val="01E0" w:firstRow="1" w:lastRow="1" w:firstColumn="1" w:lastColumn="1" w:noHBand="0" w:noVBand="0"/>
      </w:tblPr>
      <w:tblGrid>
        <w:gridCol w:w="9958"/>
      </w:tblGrid>
      <w:tr w:rsidR="00A5657B" w:rsidTr="00C60996">
        <w:trPr>
          <w:trHeight w:hRule="exact" w:val="2117"/>
        </w:trPr>
        <w:tc>
          <w:tcPr>
            <w:tcW w:w="9958" w:type="dxa"/>
            <w:tcBorders>
              <w:top w:val="nil"/>
              <w:left w:val="nil"/>
              <w:bottom w:val="nil"/>
              <w:right w:val="nil"/>
            </w:tcBorders>
            <w:shd w:val="clear" w:color="auto" w:fill="FEDADD" w:themeFill="accent5"/>
          </w:tcPr>
          <w:p w:rsidR="00A5657B" w:rsidRPr="00C1093F" w:rsidRDefault="00A5657B" w:rsidP="000532A5">
            <w:pPr>
              <w:pStyle w:val="TableParagraph"/>
              <w:spacing w:before="120" w:after="120"/>
              <w:ind w:left="108"/>
              <w:rPr>
                <w:rFonts w:ascii="Arial"/>
                <w:b/>
              </w:rPr>
            </w:pPr>
            <w:r w:rsidRPr="00C1093F">
              <w:rPr>
                <w:rFonts w:ascii="Arial"/>
                <w:b/>
              </w:rPr>
              <w:t xml:space="preserve">Head </w:t>
            </w:r>
            <w:r>
              <w:rPr>
                <w:rFonts w:ascii="Arial"/>
                <w:b/>
              </w:rPr>
              <w:t>o</w:t>
            </w:r>
            <w:r w:rsidRPr="00C1093F">
              <w:rPr>
                <w:rFonts w:ascii="Arial"/>
                <w:b/>
              </w:rPr>
              <w:t>ffice</w:t>
            </w:r>
          </w:p>
          <w:p w:rsidR="00A5657B" w:rsidRPr="00C1093F" w:rsidRDefault="00A5657B" w:rsidP="000532A5">
            <w:pPr>
              <w:pStyle w:val="TableParagraph"/>
              <w:spacing w:before="120" w:after="120"/>
              <w:ind w:left="108"/>
              <w:rPr>
                <w:rFonts w:ascii="Arial"/>
              </w:rPr>
            </w:pPr>
            <w:r w:rsidRPr="00C1093F">
              <w:rPr>
                <w:rFonts w:ascii="Arial"/>
              </w:rPr>
              <w:t>Level 23</w:t>
            </w:r>
          </w:p>
          <w:p w:rsidR="00A5657B" w:rsidRPr="00C1093F" w:rsidRDefault="00A5657B" w:rsidP="000532A5">
            <w:pPr>
              <w:pStyle w:val="TableParagraph"/>
              <w:spacing w:before="120" w:after="120"/>
              <w:ind w:left="108"/>
              <w:rPr>
                <w:rFonts w:ascii="Arial"/>
              </w:rPr>
            </w:pPr>
            <w:r w:rsidRPr="00C1093F">
              <w:rPr>
                <w:rFonts w:ascii="Arial"/>
              </w:rPr>
              <w:t xml:space="preserve">State Law Building </w:t>
            </w:r>
          </w:p>
          <w:p w:rsidR="00A5657B" w:rsidRPr="00C1093F" w:rsidRDefault="00A5657B" w:rsidP="000532A5">
            <w:pPr>
              <w:pStyle w:val="TableParagraph"/>
              <w:spacing w:before="120" w:after="120"/>
              <w:ind w:left="108"/>
              <w:rPr>
                <w:rFonts w:ascii="Arial"/>
              </w:rPr>
            </w:pPr>
            <w:r w:rsidRPr="00C1093F">
              <w:rPr>
                <w:rFonts w:ascii="Arial"/>
              </w:rPr>
              <w:t>50 Ann Street</w:t>
            </w:r>
          </w:p>
          <w:p w:rsidR="00A5657B" w:rsidRDefault="00A5657B" w:rsidP="000532A5">
            <w:pPr>
              <w:pStyle w:val="TableParagraph"/>
              <w:spacing w:before="120" w:after="120"/>
              <w:ind w:left="108"/>
              <w:rPr>
                <w:rFonts w:ascii="Arial" w:eastAsia="Arial" w:hAnsi="Arial" w:cs="Arial"/>
              </w:rPr>
            </w:pPr>
            <w:r w:rsidRPr="00C1093F">
              <w:rPr>
                <w:rFonts w:ascii="Arial"/>
              </w:rPr>
              <w:t xml:space="preserve">Brisbane  Qld </w:t>
            </w:r>
            <w:r w:rsidR="00D91474">
              <w:rPr>
                <w:rFonts w:ascii="Arial"/>
              </w:rPr>
              <w:t xml:space="preserve"> </w:t>
            </w:r>
            <w:r w:rsidRPr="00C1093F">
              <w:rPr>
                <w:rFonts w:ascii="Arial"/>
              </w:rPr>
              <w:t>4000</w:t>
            </w:r>
          </w:p>
        </w:tc>
      </w:tr>
      <w:tr w:rsidR="00A5657B" w:rsidTr="002335C3">
        <w:trPr>
          <w:trHeight w:hRule="exact" w:val="1707"/>
        </w:trPr>
        <w:tc>
          <w:tcPr>
            <w:tcW w:w="9958" w:type="dxa"/>
            <w:tcBorders>
              <w:top w:val="nil"/>
              <w:left w:val="nil"/>
              <w:bottom w:val="nil"/>
              <w:right w:val="nil"/>
            </w:tcBorders>
          </w:tcPr>
          <w:p w:rsidR="00A5657B" w:rsidRPr="00C1093F" w:rsidRDefault="00A5657B" w:rsidP="000532A5">
            <w:pPr>
              <w:pStyle w:val="TableParagraph"/>
              <w:spacing w:before="120" w:after="120"/>
              <w:ind w:left="108"/>
              <w:rPr>
                <w:rFonts w:ascii="Arial" w:eastAsia="Arial" w:hAnsi="Arial" w:cs="Arial"/>
                <w:b/>
              </w:rPr>
            </w:pPr>
            <w:r w:rsidRPr="00C1093F">
              <w:rPr>
                <w:rFonts w:ascii="Arial" w:eastAsia="Arial" w:hAnsi="Arial" w:cs="Arial"/>
                <w:b/>
              </w:rPr>
              <w:t>Mailing address</w:t>
            </w:r>
          </w:p>
          <w:p w:rsidR="00A5657B" w:rsidRDefault="00A5657B" w:rsidP="000532A5">
            <w:pPr>
              <w:pStyle w:val="TableParagraph"/>
              <w:spacing w:before="120" w:after="120"/>
              <w:ind w:left="108"/>
              <w:rPr>
                <w:rFonts w:ascii="Arial" w:eastAsia="Arial" w:hAnsi="Arial" w:cs="Arial"/>
              </w:rPr>
            </w:pPr>
            <w:r>
              <w:rPr>
                <w:rFonts w:ascii="Arial" w:eastAsia="Arial" w:hAnsi="Arial" w:cs="Arial"/>
              </w:rPr>
              <w:t>GPO Box 1425</w:t>
            </w:r>
          </w:p>
          <w:p w:rsidR="00A5657B" w:rsidRDefault="00A5657B" w:rsidP="000532A5">
            <w:pPr>
              <w:pStyle w:val="TableParagraph"/>
              <w:spacing w:before="120" w:after="120"/>
              <w:ind w:left="108"/>
              <w:rPr>
                <w:rFonts w:ascii="Arial" w:eastAsia="Arial" w:hAnsi="Arial" w:cs="Arial"/>
              </w:rPr>
            </w:pPr>
            <w:r>
              <w:rPr>
                <w:rFonts w:ascii="Arial" w:eastAsia="Arial" w:hAnsi="Arial" w:cs="Arial"/>
              </w:rPr>
              <w:t>Mail Cluster 15.7</w:t>
            </w:r>
          </w:p>
          <w:p w:rsidR="00A5657B" w:rsidRDefault="00A5657B" w:rsidP="00761D23">
            <w:pPr>
              <w:pStyle w:val="TableParagraph"/>
              <w:spacing w:before="120" w:after="120"/>
              <w:ind w:left="108"/>
              <w:rPr>
                <w:rFonts w:ascii="Arial" w:eastAsia="Arial" w:hAnsi="Arial" w:cs="Arial"/>
              </w:rPr>
            </w:pPr>
            <w:r>
              <w:rPr>
                <w:rFonts w:ascii="Arial" w:eastAsia="Arial" w:hAnsi="Arial" w:cs="Arial"/>
              </w:rPr>
              <w:t>Brisbane  Qld</w:t>
            </w:r>
            <w:r w:rsidR="00D91474" w:rsidRPr="00A91587">
              <w:rPr>
                <w:rFonts w:ascii="Arial" w:hAnsi="Arial" w:cs="Arial"/>
              </w:rPr>
              <w:t xml:space="preserve">  </w:t>
            </w:r>
            <w:r>
              <w:rPr>
                <w:rFonts w:ascii="Arial" w:eastAsia="Arial" w:hAnsi="Arial" w:cs="Arial"/>
              </w:rPr>
              <w:t>4001</w:t>
            </w:r>
          </w:p>
        </w:tc>
      </w:tr>
      <w:tr w:rsidR="00A5657B" w:rsidTr="00C60996">
        <w:trPr>
          <w:trHeight w:hRule="exact" w:val="941"/>
        </w:trPr>
        <w:tc>
          <w:tcPr>
            <w:tcW w:w="9958" w:type="dxa"/>
            <w:tcBorders>
              <w:top w:val="nil"/>
              <w:left w:val="nil"/>
              <w:bottom w:val="nil"/>
              <w:right w:val="nil"/>
            </w:tcBorders>
            <w:shd w:val="clear" w:color="auto" w:fill="FEDADD" w:themeFill="accent5"/>
          </w:tcPr>
          <w:p w:rsidR="00A5657B" w:rsidRPr="00283111" w:rsidRDefault="00A5657B" w:rsidP="000532A5">
            <w:pPr>
              <w:pStyle w:val="TableParagraph"/>
              <w:spacing w:before="120" w:after="120"/>
              <w:ind w:left="108"/>
              <w:rPr>
                <w:rFonts w:ascii="Arial" w:eastAsia="Arial" w:hAnsi="Arial" w:cs="Arial"/>
                <w:b/>
              </w:rPr>
            </w:pPr>
            <w:r w:rsidRPr="00283111">
              <w:rPr>
                <w:rFonts w:ascii="Arial"/>
                <w:b/>
              </w:rPr>
              <w:t>Telephone</w:t>
            </w:r>
            <w:r w:rsidRPr="00283111">
              <w:rPr>
                <w:rFonts w:ascii="Arial"/>
                <w:b/>
                <w:spacing w:val="-8"/>
              </w:rPr>
              <w:t xml:space="preserve"> </w:t>
            </w:r>
            <w:r w:rsidRPr="00283111">
              <w:rPr>
                <w:rFonts w:ascii="Arial"/>
                <w:b/>
              </w:rPr>
              <w:t>contact</w:t>
            </w:r>
          </w:p>
          <w:p w:rsidR="00A5657B" w:rsidRDefault="00A5657B" w:rsidP="00C60996">
            <w:pPr>
              <w:pStyle w:val="TableParagraph"/>
              <w:spacing w:before="120" w:after="120"/>
              <w:ind w:left="108"/>
              <w:rPr>
                <w:rFonts w:ascii="Arial" w:eastAsia="Arial" w:hAnsi="Arial" w:cs="Arial"/>
              </w:rPr>
            </w:pPr>
            <w:r>
              <w:rPr>
                <w:rFonts w:ascii="Arial"/>
              </w:rPr>
              <w:t>(07) 3227 6588</w:t>
            </w:r>
          </w:p>
        </w:tc>
      </w:tr>
      <w:tr w:rsidR="00A5657B" w:rsidTr="002335C3">
        <w:trPr>
          <w:trHeight w:hRule="exact" w:val="1304"/>
        </w:trPr>
        <w:tc>
          <w:tcPr>
            <w:tcW w:w="9958" w:type="dxa"/>
            <w:tcBorders>
              <w:top w:val="nil"/>
              <w:left w:val="nil"/>
              <w:bottom w:val="nil"/>
              <w:right w:val="nil"/>
            </w:tcBorders>
          </w:tcPr>
          <w:p w:rsidR="00A5657B" w:rsidRDefault="00A5657B" w:rsidP="000532A5">
            <w:pPr>
              <w:pStyle w:val="TableParagraph"/>
              <w:spacing w:before="120" w:after="120"/>
              <w:ind w:left="108"/>
              <w:rPr>
                <w:rFonts w:ascii="Arial" w:eastAsia="Arial" w:hAnsi="Arial" w:cs="Arial"/>
              </w:rPr>
            </w:pPr>
          </w:p>
        </w:tc>
      </w:tr>
      <w:tr w:rsidR="00A5657B" w:rsidTr="002335C3">
        <w:trPr>
          <w:trHeight w:hRule="exact" w:val="1134"/>
        </w:trPr>
        <w:tc>
          <w:tcPr>
            <w:tcW w:w="9958" w:type="dxa"/>
            <w:tcBorders>
              <w:top w:val="nil"/>
              <w:left w:val="nil"/>
              <w:bottom w:val="nil"/>
              <w:right w:val="nil"/>
            </w:tcBorders>
          </w:tcPr>
          <w:p w:rsidR="00A5657B" w:rsidRDefault="00A5657B" w:rsidP="000532A5">
            <w:pPr>
              <w:pStyle w:val="TableParagraph"/>
              <w:spacing w:before="120" w:after="120"/>
              <w:ind w:left="108" w:right="918"/>
              <w:rPr>
                <w:rFonts w:ascii="Arial" w:eastAsia="Arial" w:hAnsi="Arial" w:cs="Arial"/>
              </w:rPr>
            </w:pPr>
          </w:p>
        </w:tc>
      </w:tr>
    </w:tbl>
    <w:p w:rsidR="00CE2048" w:rsidRDefault="00CE2048" w:rsidP="00CE2048">
      <w:pPr>
        <w:rPr>
          <w:rFonts w:eastAsia="Calibri"/>
          <w:szCs w:val="22"/>
        </w:rPr>
        <w:sectPr w:rsidR="00CE2048" w:rsidSect="00827F2B">
          <w:headerReference w:type="default" r:id="rId90"/>
          <w:pgSz w:w="12240" w:h="15840" w:code="1"/>
          <w:pgMar w:top="720" w:right="1134" w:bottom="720" w:left="1134" w:header="567" w:footer="567" w:gutter="0"/>
          <w:pgNumType w:start="1"/>
          <w:cols w:space="720"/>
          <w:docGrid w:linePitch="360"/>
        </w:sectPr>
      </w:pPr>
    </w:p>
    <w:p w:rsidR="007621B8" w:rsidRPr="00341581" w:rsidRDefault="002048E3" w:rsidP="00CE2048">
      <w:pPr>
        <w:rPr>
          <w:rFonts w:eastAsia="Calibri"/>
          <w:szCs w:val="22"/>
        </w:rPr>
      </w:pPr>
      <w:r>
        <w:rPr>
          <w:rFonts w:eastAsia="Calibri"/>
          <w:noProof/>
          <w:szCs w:val="22"/>
          <w:lang w:val="en-AU" w:eastAsia="en-AU"/>
        </w:rPr>
        <w:lastRenderedPageBreak/>
        <w:drawing>
          <wp:anchor distT="0" distB="0" distL="114300" distR="114300" simplePos="0" relativeHeight="251680768" behindDoc="0" locked="0" layoutInCell="1" allowOverlap="1" wp14:anchorId="2CC8F9A8" wp14:editId="351E6910">
            <wp:simplePos x="0" y="0"/>
            <wp:positionH relativeFrom="column">
              <wp:posOffset>152400</wp:posOffset>
            </wp:positionH>
            <wp:positionV relativeFrom="paragraph">
              <wp:posOffset>144145</wp:posOffset>
            </wp:positionV>
            <wp:extent cx="7004050" cy="99060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2015-2016_IGEM_Col.BackCover.HiRes.png"/>
                    <pic:cNvPicPr/>
                  </pic:nvPicPr>
                  <pic:blipFill>
                    <a:blip r:embed="rId91">
                      <a:extLst>
                        <a:ext uri="{28A0092B-C50C-407E-A947-70E740481C1C}">
                          <a14:useLocalDpi xmlns:a14="http://schemas.microsoft.com/office/drawing/2010/main" val="0"/>
                        </a:ext>
                      </a:extLst>
                    </a:blip>
                    <a:stretch>
                      <a:fillRect/>
                    </a:stretch>
                  </pic:blipFill>
                  <pic:spPr>
                    <a:xfrm>
                      <a:off x="0" y="0"/>
                      <a:ext cx="7004050" cy="9906000"/>
                    </a:xfrm>
                    <a:prstGeom prst="rect">
                      <a:avLst/>
                    </a:prstGeom>
                  </pic:spPr>
                </pic:pic>
              </a:graphicData>
            </a:graphic>
            <wp14:sizeRelH relativeFrom="margin">
              <wp14:pctWidth>0</wp14:pctWidth>
            </wp14:sizeRelH>
            <wp14:sizeRelV relativeFrom="margin">
              <wp14:pctHeight>0</wp14:pctHeight>
            </wp14:sizeRelV>
          </wp:anchor>
        </w:drawing>
      </w:r>
    </w:p>
    <w:sectPr w:rsidR="007621B8" w:rsidRPr="00341581" w:rsidSect="00CE2048">
      <w:headerReference w:type="default" r:id="rId92"/>
      <w:pgSz w:w="12240" w:h="15840" w:code="1"/>
      <w:pgMar w:top="0" w:right="249" w:bottom="0" w:left="249"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F44" w:rsidRDefault="00797F44">
      <w:pPr>
        <w:spacing w:after="0"/>
      </w:pPr>
      <w:r>
        <w:separator/>
      </w:r>
    </w:p>
  </w:endnote>
  <w:endnote w:type="continuationSeparator" w:id="0">
    <w:p w:rsidR="00797F44" w:rsidRDefault="00797F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Pr="001B7342" w:rsidRDefault="00797F44" w:rsidP="00831B88">
    <w:pPr>
      <w:pStyle w:val="Footer"/>
      <w:pBdr>
        <w:top w:val="none" w:sz="0" w:space="0" w:color="auto"/>
        <w:left w:val="none" w:sz="0" w:space="0" w:color="auto"/>
      </w:pBdr>
      <w:jc w:val="center"/>
      <w:rPr>
        <w:sz w:val="18"/>
        <w:szCs w:val="18"/>
      </w:rPr>
    </w:pPr>
    <w:r w:rsidRPr="001B7342">
      <w:rPr>
        <w:sz w:val="18"/>
        <w:szCs w:val="18"/>
      </w:rPr>
      <w:fldChar w:fldCharType="begin"/>
    </w:r>
    <w:r w:rsidRPr="001B7342">
      <w:rPr>
        <w:sz w:val="18"/>
        <w:szCs w:val="18"/>
      </w:rPr>
      <w:instrText xml:space="preserve"> PAGE   \* MERGEFORMAT </w:instrText>
    </w:r>
    <w:r w:rsidRPr="001B7342">
      <w:rPr>
        <w:sz w:val="18"/>
        <w:szCs w:val="18"/>
      </w:rPr>
      <w:fldChar w:fldCharType="separate"/>
    </w:r>
    <w:r w:rsidR="003E64D5">
      <w:rPr>
        <w:noProof/>
        <w:sz w:val="18"/>
        <w:szCs w:val="18"/>
      </w:rPr>
      <w:t>i</w:t>
    </w:r>
    <w:r w:rsidRPr="001B7342">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797F44" w:rsidP="00831B88">
    <w:pPr>
      <w:pStyle w:val="Footer"/>
      <w:pBdr>
        <w:top w:val="none" w:sz="0" w:space="0" w:color="auto"/>
        <w:left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751642"/>
      <w:docPartObj>
        <w:docPartGallery w:val="Page Numbers (Bottom of Page)"/>
        <w:docPartUnique/>
      </w:docPartObj>
    </w:sdtPr>
    <w:sdtEndPr>
      <w:rPr>
        <w:noProof/>
      </w:rPr>
    </w:sdtEndPr>
    <w:sdtContent>
      <w:p w:rsidR="00797F44" w:rsidRDefault="00797F44">
        <w:pPr>
          <w:pStyle w:val="Footer"/>
          <w:jc w:val="center"/>
        </w:pPr>
        <w:r>
          <w:fldChar w:fldCharType="begin"/>
        </w:r>
        <w:r>
          <w:instrText xml:space="preserve"> PAGE   \* MERGEFORMAT </w:instrText>
        </w:r>
        <w:r>
          <w:fldChar w:fldCharType="separate"/>
        </w:r>
        <w:r w:rsidR="003E64D5">
          <w:rPr>
            <w:noProof/>
          </w:rPr>
          <w:t>lxvii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155957"/>
      <w:docPartObj>
        <w:docPartGallery w:val="Page Numbers (Bottom of Page)"/>
        <w:docPartUnique/>
      </w:docPartObj>
    </w:sdtPr>
    <w:sdtEndPr>
      <w:rPr>
        <w:noProof/>
        <w:sz w:val="18"/>
        <w:szCs w:val="18"/>
      </w:rPr>
    </w:sdtEndPr>
    <w:sdtContent>
      <w:p w:rsidR="00797F44" w:rsidRPr="001B7342" w:rsidRDefault="00797F44" w:rsidP="003D477C">
        <w:pPr>
          <w:pStyle w:val="Footer"/>
          <w:pBdr>
            <w:top w:val="none" w:sz="0" w:space="0" w:color="auto"/>
            <w:left w:val="none" w:sz="0" w:space="0" w:color="auto"/>
          </w:pBdr>
          <w:jc w:val="center"/>
          <w:rPr>
            <w:noProof/>
            <w:sz w:val="18"/>
            <w:szCs w:val="18"/>
          </w:rPr>
        </w:pPr>
        <w:r w:rsidRPr="001B7342">
          <w:rPr>
            <w:sz w:val="18"/>
            <w:szCs w:val="18"/>
          </w:rPr>
          <w:fldChar w:fldCharType="begin"/>
        </w:r>
        <w:r w:rsidRPr="001B7342">
          <w:rPr>
            <w:sz w:val="18"/>
            <w:szCs w:val="18"/>
          </w:rPr>
          <w:instrText xml:space="preserve"> PAGE   \* MERGEFORMAT </w:instrText>
        </w:r>
        <w:r w:rsidRPr="001B7342">
          <w:rPr>
            <w:sz w:val="18"/>
            <w:szCs w:val="18"/>
          </w:rPr>
          <w:fldChar w:fldCharType="separate"/>
        </w:r>
        <w:r w:rsidR="003E64D5">
          <w:rPr>
            <w:noProof/>
            <w:sz w:val="18"/>
            <w:szCs w:val="18"/>
          </w:rPr>
          <w:t>18</w:t>
        </w:r>
        <w:r w:rsidRPr="001B7342">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F44" w:rsidRDefault="00797F44">
      <w:pPr>
        <w:spacing w:after="0"/>
      </w:pPr>
      <w:r>
        <w:separator/>
      </w:r>
    </w:p>
  </w:footnote>
  <w:footnote w:type="continuationSeparator" w:id="0">
    <w:p w:rsidR="00797F44" w:rsidRDefault="00797F44">
      <w:pPr>
        <w:spacing w:after="0"/>
      </w:pPr>
      <w:r>
        <w:continuationSeparator/>
      </w:r>
    </w:p>
  </w:footnote>
  <w:footnote w:id="1">
    <w:p w:rsidR="00797F44" w:rsidRDefault="00797F44" w:rsidP="002335C3">
      <w:pPr>
        <w:ind w:left="112"/>
        <w:rPr>
          <w:rFonts w:eastAsia="Arial"/>
          <w:sz w:val="16"/>
          <w:szCs w:val="16"/>
        </w:rPr>
      </w:pPr>
      <w:r>
        <w:rPr>
          <w:rStyle w:val="FootnoteReference"/>
        </w:rPr>
        <w:footnoteRef/>
      </w:r>
      <w:r>
        <w:t xml:space="preserve"> </w:t>
      </w:r>
      <w:r w:rsidRPr="00B42C7F">
        <w:rPr>
          <w:sz w:val="16"/>
        </w:rPr>
        <w:t>Historical analysis of natural hazard building losses and fatalities for Queensland 1900-2011 October 2012. Found</w:t>
      </w:r>
      <w:r w:rsidRPr="00B42C7F">
        <w:rPr>
          <w:spacing w:val="-22"/>
          <w:sz w:val="16"/>
        </w:rPr>
        <w:t xml:space="preserve"> </w:t>
      </w:r>
      <w:r w:rsidRPr="00B42C7F">
        <w:rPr>
          <w:sz w:val="16"/>
        </w:rPr>
        <w:t xml:space="preserve">at: </w:t>
      </w:r>
      <w:hyperlink r:id="rId1" w:history="1">
        <w:r w:rsidRPr="006266C6">
          <w:rPr>
            <w:rStyle w:val="Hyperlink"/>
            <w:color w:val="AB054C"/>
            <w:sz w:val="16"/>
            <w:u w:color="AB054C"/>
          </w:rPr>
          <w:t>http://disaster.qld.gov.au/Disaster-</w:t>
        </w:r>
      </w:hyperlink>
      <w:r w:rsidRPr="006266C6">
        <w:rPr>
          <w:color w:val="AB054C"/>
          <w:sz w:val="16"/>
          <w:u w:color="AB054C"/>
        </w:rPr>
        <w:t xml:space="preserve"> </w:t>
      </w:r>
      <w:hyperlink r:id="rId2">
        <w:r w:rsidRPr="006266C6">
          <w:rPr>
            <w:color w:val="AB054C"/>
            <w:spacing w:val="-1"/>
            <w:sz w:val="16"/>
            <w:u w:val="single" w:color="AB054C"/>
          </w:rPr>
          <w:t>Resources/Documents/Historical%20analysis%20of%20natural%20hazard%20building%20losses%20and%20fatalities%20for%20Queen</w:t>
        </w:r>
        <w:r w:rsidRPr="006266C6">
          <w:rPr>
            <w:color w:val="AB054C"/>
            <w:spacing w:val="30"/>
            <w:sz w:val="16"/>
            <w:u w:val="single" w:color="AB054C"/>
          </w:rPr>
          <w:t xml:space="preserve"> </w:t>
        </w:r>
      </w:hyperlink>
      <w:hyperlink r:id="rId3">
        <w:r w:rsidRPr="006266C6">
          <w:rPr>
            <w:color w:val="AB054C"/>
            <w:sz w:val="16"/>
            <w:u w:val="single" w:color="AB054C"/>
          </w:rPr>
          <w:t>sland%201900-2011.pdf</w:t>
        </w:r>
      </w:hyperlink>
    </w:p>
    <w:p w:rsidR="00797F44" w:rsidRPr="00B42C7F" w:rsidRDefault="00797F44" w:rsidP="001B1354">
      <w:pPr>
        <w:pStyle w:val="FootnoteText"/>
        <w:rPr>
          <w:lang w:val="en-AU"/>
        </w:rPr>
      </w:pPr>
    </w:p>
  </w:footnote>
  <w:footnote w:id="2">
    <w:p w:rsidR="00797F44" w:rsidRPr="00FB33B4" w:rsidRDefault="00797F44" w:rsidP="00984FA2">
      <w:pPr>
        <w:pStyle w:val="FootnoteText"/>
        <w:rPr>
          <w:sz w:val="18"/>
          <w:szCs w:val="18"/>
        </w:rPr>
      </w:pPr>
      <w:r w:rsidRPr="00FB33B4">
        <w:rPr>
          <w:rStyle w:val="FootnoteReference"/>
          <w:sz w:val="18"/>
          <w:szCs w:val="18"/>
        </w:rPr>
        <w:footnoteRef/>
      </w:r>
      <w:r w:rsidRPr="00FB33B4">
        <w:rPr>
          <w:sz w:val="18"/>
          <w:szCs w:val="18"/>
        </w:rPr>
        <w:t xml:space="preserve"> Queensland Strategy for Disaster Resilience: </w:t>
      </w:r>
      <w:hyperlink r:id="rId4" w:history="1">
        <w:r w:rsidRPr="00FB33B4">
          <w:rPr>
            <w:rStyle w:val="Hyperlink"/>
            <w:color w:val="AB054C"/>
            <w:sz w:val="18"/>
            <w:szCs w:val="18"/>
          </w:rPr>
          <w:t>www.dilgp.qld.gov.au/resources/plan/local-government/queensland-strategy-for-disaster-resilience.pdf</w:t>
        </w:r>
      </w:hyperlink>
    </w:p>
    <w:p w:rsidR="00797F44" w:rsidRDefault="00797F44" w:rsidP="00984FA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Pr="003B3B4A" w:rsidRDefault="003E64D5" w:rsidP="00F338E8">
    <w:pPr>
      <w:pStyle w:val="Header"/>
      <w:jc w:val="right"/>
      <w:rPr>
        <w:sz w:val="18"/>
        <w:szCs w:val="18"/>
      </w:rPr>
    </w:pPr>
    <w:r>
      <w:rPr>
        <w:noProof/>
      </w:rPr>
      <w:pict w14:anchorId="58DE5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37" o:spid="_x0000_s2050" type="#_x0000_t136" style="position:absolute;left:0;text-align:left;margin-left:0;margin-top:0;width:537.75pt;height:153.6pt;rotation:315;z-index:-251655168;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r w:rsidR="00797F44" w:rsidRPr="001902A4">
      <w:t>201</w:t>
    </w:r>
    <w:r w:rsidR="00797F44">
      <w:t>5</w:t>
    </w:r>
    <w:r w:rsidR="00797F44" w:rsidRPr="001902A4">
      <w:t>–1</w:t>
    </w:r>
    <w:r w:rsidR="00797F44">
      <w:t>6</w:t>
    </w:r>
    <w:r w:rsidR="00797F44" w:rsidRPr="001902A4">
      <w:t xml:space="preserve"> Annual Report</w:t>
    </w:r>
  </w:p>
  <w:p w:rsidR="00797F44" w:rsidRPr="003B3B4A" w:rsidRDefault="00797F44" w:rsidP="00F338E8">
    <w:pPr>
      <w:pStyle w:val="Header"/>
      <w:jc w:val="right"/>
      <w:rPr>
        <w:sz w:val="18"/>
        <w:szCs w:val="18"/>
      </w:rPr>
    </w:pPr>
  </w:p>
  <w:p w:rsidR="00797F44" w:rsidRPr="003B3B4A" w:rsidRDefault="00797F44" w:rsidP="00F338E8">
    <w:pPr>
      <w:pStyle w:val="Header"/>
      <w:jc w:val="right"/>
      <w:rPr>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797F44" w:rsidP="006F055A">
    <w:pPr>
      <w:pStyle w:val="Header"/>
      <w:tabs>
        <w:tab w:val="left" w:pos="6690"/>
        <w:tab w:val="right" w:pos="10142"/>
      </w:tabs>
      <w:jc w:val="right"/>
      <w:rPr>
        <w:sz w:val="18"/>
      </w:rPr>
    </w:pPr>
    <w:r>
      <w:rPr>
        <w:sz w:val="18"/>
      </w:rPr>
      <w:t>2</w:t>
    </w:r>
    <w:r w:rsidRPr="00B34B8E">
      <w:rPr>
        <w:sz w:val="18"/>
      </w:rPr>
      <w:t>015-16 Annual Report</w:t>
    </w:r>
  </w:p>
  <w:p w:rsidR="00797F44" w:rsidRDefault="00797F44" w:rsidP="006F055A">
    <w:pPr>
      <w:pStyle w:val="Header"/>
      <w:tabs>
        <w:tab w:val="left" w:pos="6690"/>
        <w:tab w:val="right" w:pos="10142"/>
      </w:tabs>
      <w:jc w:val="right"/>
      <w:rPr>
        <w:sz w:val="18"/>
      </w:rPr>
    </w:pPr>
    <w:r>
      <w:rPr>
        <w:sz w:val="18"/>
      </w:rPr>
      <w:t>Office of the Inspector-General</w:t>
    </w:r>
    <w:r w:rsidRPr="000532A5">
      <w:rPr>
        <w:sz w:val="18"/>
      </w:rPr>
      <w:t xml:space="preserve"> Emergency Management</w:t>
    </w:r>
  </w:p>
  <w:p w:rsidR="00797F44" w:rsidRPr="00E25586" w:rsidRDefault="00797F44" w:rsidP="006F055A">
    <w:pPr>
      <w:pStyle w:val="Header"/>
      <w:rPr>
        <w:sz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Pr="00CE2048" w:rsidRDefault="00797F44" w:rsidP="00CE2048">
    <w:pPr>
      <w:pStyle w:val="Header"/>
      <w:ind w:left="-24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Pr="00EA07C1" w:rsidRDefault="003E64D5" w:rsidP="00F338E8">
    <w:pPr>
      <w:pStyle w:val="Header"/>
      <w:jc w:val="right"/>
      <w:rPr>
        <w:sz w:val="18"/>
      </w:rPr>
    </w:pPr>
    <w:r>
      <w:rPr>
        <w:noProof/>
      </w:rPr>
      <w:pict w14:anchorId="64711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38" o:spid="_x0000_s2051" type="#_x0000_t136" style="position:absolute;left:0;text-align:left;margin-left:0;margin-top:0;width:537.75pt;height:153.6pt;rotation:315;z-index:-251653120;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r w:rsidR="00797F44" w:rsidRPr="00EA07C1">
      <w:rPr>
        <w:sz w:val="18"/>
      </w:rPr>
      <w:t>2015–16 Annual Report</w:t>
    </w:r>
  </w:p>
  <w:p w:rsidR="00797F44" w:rsidRDefault="00797F44" w:rsidP="00F338E8">
    <w:pPr>
      <w:pStyle w:val="Header"/>
      <w:jc w:val="right"/>
      <w:rPr>
        <w:sz w:val="18"/>
      </w:rPr>
    </w:pPr>
    <w:r w:rsidRPr="00313CF1">
      <w:rPr>
        <w:sz w:val="18"/>
        <w:highlight w:val="yellow"/>
      </w:rPr>
      <w:t>&lt;Agency name&gt;</w:t>
    </w:r>
  </w:p>
  <w:p w:rsidR="00797F44" w:rsidRPr="00EA07C1" w:rsidRDefault="00797F44" w:rsidP="00F338E8">
    <w:pPr>
      <w:pStyle w:val="Header"/>
      <w:jc w:val="right"/>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Pr="00EA07C1" w:rsidRDefault="00797F44" w:rsidP="00CE2048">
    <w:pPr>
      <w:pStyle w:val="Header"/>
      <w:ind w:left="-238" w:right="-194"/>
      <w:jc w:val="right"/>
      <w:rPr>
        <w:sz w:val="18"/>
        <w:lang w:val="en-AU"/>
      </w:rPr>
    </w:pPr>
    <w:r>
      <w:rPr>
        <w:noProof/>
        <w:lang w:val="en-AU" w:eastAsia="en-AU"/>
      </w:rPr>
      <mc:AlternateContent>
        <mc:Choice Requires="wps">
          <w:drawing>
            <wp:anchor distT="0" distB="0" distL="114300" distR="114300" simplePos="0" relativeHeight="251681792" behindDoc="0" locked="0" layoutInCell="1" allowOverlap="1" wp14:anchorId="4ADD8968" wp14:editId="2FED32F9">
              <wp:simplePos x="0" y="0"/>
              <wp:positionH relativeFrom="column">
                <wp:posOffset>5550535</wp:posOffset>
              </wp:positionH>
              <wp:positionV relativeFrom="paragraph">
                <wp:posOffset>-3175</wp:posOffset>
              </wp:positionV>
              <wp:extent cx="2891790" cy="56578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891790" cy="565785"/>
                      </a:xfrm>
                      <a:prstGeom prst="rect">
                        <a:avLst/>
                      </a:prstGeom>
                      <a:noFill/>
                      <a:ln>
                        <a:noFill/>
                      </a:ln>
                      <a:effectLst/>
                    </wps:spPr>
                    <wps:txbx>
                      <w:txbxContent>
                        <w:p w:rsidR="00797F44" w:rsidRPr="00931992" w:rsidRDefault="00797F44" w:rsidP="00931992">
                          <w:pPr>
                            <w:jc w:val="center"/>
                            <w:rPr>
                              <w:b/>
                              <w:color w:val="AB054C" w:themeColor="accent3"/>
                              <w:spacing w:val="40"/>
                              <w:sz w:val="2"/>
                              <w:szCs w:val="7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DD8968" id="_x0000_t202" coordsize="21600,21600" o:spt="202" path="m,l,21600r21600,l21600,xe">
              <v:stroke joinstyle="miter"/>
              <v:path gradientshapeok="t" o:connecttype="rect"/>
            </v:shapetype>
            <v:shape id="Text Box 226" o:spid="_x0000_s1042" type="#_x0000_t202" style="position:absolute;left:0;text-align:left;margin-left:437.05pt;margin-top:-.25pt;width:227.7pt;height:44.5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" filled="f" stroked="f">
              <v:textbox style="mso-fit-shape-to-text:t">
                <w:txbxContent>
                  <w:p w:rsidR="00797F44" w:rsidRPr="00931992" w:rsidRDefault="00797F44" w:rsidP="00931992">
                    <w:pPr>
                      <w:jc w:val="center"/>
                      <w:rPr>
                        <w:b/>
                        <w:color w:val="AB054C" w:themeColor="accent3"/>
                        <w:spacing w:val="40"/>
                        <w:sz w:val="2"/>
                        <w:szCs w:val="7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v:textbox>
            </v:shape>
          </w:pict>
        </mc:Fallback>
      </mc:AlternateContent>
    </w:r>
    <w:r>
      <w:rPr>
        <w:noProof/>
        <w:sz w:val="18"/>
        <w:lang w:val="en-AU" w:eastAsia="en-AU"/>
      </w:rPr>
      <w:drawing>
        <wp:inline distT="0" distB="0" distL="0" distR="0" wp14:anchorId="7A80271E" wp14:editId="2169963F">
          <wp:extent cx="7548896" cy="10675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2015-2016_IGEM_Col.FrontCover.HiRes.png"/>
                  <pic:cNvPicPr/>
                </pic:nvPicPr>
                <pic:blipFill>
                  <a:blip r:embed="rId1">
                    <a:extLst>
                      <a:ext uri="{28A0092B-C50C-407E-A947-70E740481C1C}">
                        <a14:useLocalDpi xmlns:a14="http://schemas.microsoft.com/office/drawing/2010/main" val="0"/>
                      </a:ext>
                    </a:extLst>
                  </a:blip>
                  <a:stretch>
                    <a:fillRect/>
                  </a:stretch>
                </pic:blipFill>
                <pic:spPr>
                  <a:xfrm>
                    <a:off x="0" y="0"/>
                    <a:ext cx="7549787" cy="10676539"/>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3E64D5">
    <w:pPr>
      <w:pStyle w:val="Header"/>
    </w:pPr>
    <w:r>
      <w:rPr>
        <w:noProof/>
      </w:rPr>
      <w:pict w14:anchorId="395C6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40" o:spid="_x0000_s2053" type="#_x0000_t136" style="position:absolute;margin-left:0;margin-top:0;width:537.75pt;height:153.6pt;rotation:315;z-index:-251649024;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797F44" w:rsidP="000533A2">
    <w:pPr>
      <w:pStyle w:val="Header"/>
      <w:tabs>
        <w:tab w:val="left" w:pos="6690"/>
        <w:tab w:val="right" w:pos="10142"/>
      </w:tabs>
      <w:jc w:val="right"/>
      <w:rPr>
        <w:sz w:val="18"/>
      </w:rPr>
    </w:pPr>
    <w:r>
      <w:rPr>
        <w:sz w:val="18"/>
      </w:rPr>
      <w:t>2</w:t>
    </w:r>
    <w:r w:rsidRPr="00B34B8E">
      <w:rPr>
        <w:sz w:val="18"/>
      </w:rPr>
      <w:t>015-16 Annual Report</w:t>
    </w:r>
  </w:p>
  <w:p w:rsidR="00797F44" w:rsidRDefault="00797F44" w:rsidP="000532A5">
    <w:pPr>
      <w:pStyle w:val="Header"/>
      <w:tabs>
        <w:tab w:val="left" w:pos="6690"/>
        <w:tab w:val="right" w:pos="10142"/>
      </w:tabs>
      <w:jc w:val="right"/>
      <w:rPr>
        <w:sz w:val="18"/>
      </w:rPr>
    </w:pPr>
    <w:r w:rsidRPr="000532A5">
      <w:rPr>
        <w:sz w:val="18"/>
      </w:rPr>
      <w:t>Office of the Inspector-General Emergency Management</w:t>
    </w:r>
  </w:p>
  <w:p w:rsidR="00797F44" w:rsidRPr="000532A5" w:rsidRDefault="00797F44" w:rsidP="000532A5">
    <w:pPr>
      <w:pStyle w:val="Header"/>
      <w:tabs>
        <w:tab w:val="left" w:pos="6690"/>
        <w:tab w:val="right" w:pos="10142"/>
      </w:tabs>
      <w:jc w:val="right"/>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3E64D5">
    <w:pPr>
      <w:pStyle w:val="Header"/>
    </w:pPr>
    <w:r>
      <w:rPr>
        <w:noProof/>
      </w:rPr>
      <w:pict w14:anchorId="283C6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39" o:spid="_x0000_s2052" type="#_x0000_t136" style="position:absolute;margin-left:0;margin-top:0;width:537.75pt;height:153.6pt;rotation:315;z-index:-251651072;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3E64D5">
    <w:pPr>
      <w:pStyle w:val="Header"/>
    </w:pPr>
    <w:r>
      <w:rPr>
        <w:noProof/>
      </w:rPr>
      <w:pict w14:anchorId="314BF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43" o:spid="_x0000_s2056" type="#_x0000_t136" style="position:absolute;margin-left:0;margin-top:0;width:537.75pt;height:153.6pt;rotation:315;z-index:-251642880;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797F44" w:rsidP="000533A2">
    <w:pPr>
      <w:pStyle w:val="Header"/>
      <w:tabs>
        <w:tab w:val="left" w:pos="6690"/>
        <w:tab w:val="right" w:pos="10142"/>
      </w:tabs>
      <w:jc w:val="right"/>
      <w:rPr>
        <w:sz w:val="18"/>
      </w:rPr>
    </w:pPr>
    <w:r>
      <w:rPr>
        <w:sz w:val="18"/>
      </w:rPr>
      <w:t>2</w:t>
    </w:r>
    <w:r w:rsidRPr="00B34B8E">
      <w:rPr>
        <w:sz w:val="18"/>
      </w:rPr>
      <w:t>015-16 Annual Report</w:t>
    </w:r>
  </w:p>
  <w:p w:rsidR="00797F44" w:rsidRDefault="00797F44" w:rsidP="000532A5">
    <w:pPr>
      <w:pStyle w:val="Header"/>
      <w:tabs>
        <w:tab w:val="left" w:pos="6690"/>
        <w:tab w:val="right" w:pos="10142"/>
      </w:tabs>
      <w:jc w:val="right"/>
      <w:rPr>
        <w:sz w:val="18"/>
      </w:rPr>
    </w:pPr>
    <w:r w:rsidRPr="000532A5">
      <w:rPr>
        <w:sz w:val="18"/>
      </w:rPr>
      <w:t>Office of the Inspector-General Emergency Management</w:t>
    </w:r>
  </w:p>
  <w:p w:rsidR="00797F44" w:rsidRPr="000532A5" w:rsidRDefault="00797F44" w:rsidP="000532A5">
    <w:pPr>
      <w:pStyle w:val="Header"/>
      <w:tabs>
        <w:tab w:val="left" w:pos="6690"/>
        <w:tab w:val="right" w:pos="10142"/>
      </w:tabs>
      <w:jc w:val="right"/>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F44" w:rsidRDefault="003E64D5">
    <w:pPr>
      <w:pStyle w:val="Header"/>
    </w:pPr>
    <w:r>
      <w:rPr>
        <w:noProof/>
      </w:rPr>
      <w:pict w14:anchorId="4A2F4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487842" o:spid="_x0000_s2055" type="#_x0000_t136" style="position:absolute;margin-left:0;margin-top:0;width:537.75pt;height:153.6pt;rotation:315;z-index:-251644928;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8A002E" w:themeColor="accent1"/>
      </w:rPr>
    </w:lvl>
  </w:abstractNum>
  <w:abstractNum w:abstractNumId="5" w15:restartNumberingAfterBreak="0">
    <w:nsid w:val="01F07A55"/>
    <w:multiLevelType w:val="hybridMultilevel"/>
    <w:tmpl w:val="D8A6186A"/>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6" w15:restartNumberingAfterBreak="0">
    <w:nsid w:val="021B6483"/>
    <w:multiLevelType w:val="hybridMultilevel"/>
    <w:tmpl w:val="A69C22C0"/>
    <w:lvl w:ilvl="0" w:tplc="AA0AB30A">
      <w:start w:val="1"/>
      <w:numFmt w:val="bullet"/>
      <w:lvlText w:val=""/>
      <w:lvlJc w:val="left"/>
      <w:pPr>
        <w:ind w:left="355" w:hanging="252"/>
      </w:pPr>
      <w:rPr>
        <w:rFonts w:ascii="Symbol" w:eastAsia="Symbol" w:hAnsi="Symbol" w:hint="default"/>
        <w:w w:val="100"/>
        <w:sz w:val="18"/>
        <w:szCs w:val="18"/>
      </w:rPr>
    </w:lvl>
    <w:lvl w:ilvl="1" w:tplc="2C38A5BE">
      <w:start w:val="1"/>
      <w:numFmt w:val="bullet"/>
      <w:lvlText w:val="•"/>
      <w:lvlJc w:val="left"/>
      <w:pPr>
        <w:ind w:left="634" w:hanging="252"/>
      </w:pPr>
      <w:rPr>
        <w:rFonts w:hint="default"/>
      </w:rPr>
    </w:lvl>
    <w:lvl w:ilvl="2" w:tplc="183AB534">
      <w:start w:val="1"/>
      <w:numFmt w:val="bullet"/>
      <w:lvlText w:val="•"/>
      <w:lvlJc w:val="left"/>
      <w:pPr>
        <w:ind w:left="909" w:hanging="252"/>
      </w:pPr>
      <w:rPr>
        <w:rFonts w:hint="default"/>
      </w:rPr>
    </w:lvl>
    <w:lvl w:ilvl="3" w:tplc="2CB8ED9C">
      <w:start w:val="1"/>
      <w:numFmt w:val="bullet"/>
      <w:lvlText w:val="•"/>
      <w:lvlJc w:val="left"/>
      <w:pPr>
        <w:ind w:left="1184" w:hanging="252"/>
      </w:pPr>
      <w:rPr>
        <w:rFonts w:hint="default"/>
      </w:rPr>
    </w:lvl>
    <w:lvl w:ilvl="4" w:tplc="2C8416E8">
      <w:start w:val="1"/>
      <w:numFmt w:val="bullet"/>
      <w:lvlText w:val="•"/>
      <w:lvlJc w:val="left"/>
      <w:pPr>
        <w:ind w:left="1459" w:hanging="252"/>
      </w:pPr>
      <w:rPr>
        <w:rFonts w:hint="default"/>
      </w:rPr>
    </w:lvl>
    <w:lvl w:ilvl="5" w:tplc="1E807CD2">
      <w:start w:val="1"/>
      <w:numFmt w:val="bullet"/>
      <w:lvlText w:val="•"/>
      <w:lvlJc w:val="left"/>
      <w:pPr>
        <w:ind w:left="1734" w:hanging="252"/>
      </w:pPr>
      <w:rPr>
        <w:rFonts w:hint="default"/>
      </w:rPr>
    </w:lvl>
    <w:lvl w:ilvl="6" w:tplc="05563572">
      <w:start w:val="1"/>
      <w:numFmt w:val="bullet"/>
      <w:lvlText w:val="•"/>
      <w:lvlJc w:val="left"/>
      <w:pPr>
        <w:ind w:left="2008" w:hanging="252"/>
      </w:pPr>
      <w:rPr>
        <w:rFonts w:hint="default"/>
      </w:rPr>
    </w:lvl>
    <w:lvl w:ilvl="7" w:tplc="CBD2EF7A">
      <w:start w:val="1"/>
      <w:numFmt w:val="bullet"/>
      <w:lvlText w:val="•"/>
      <w:lvlJc w:val="left"/>
      <w:pPr>
        <w:ind w:left="2283" w:hanging="252"/>
      </w:pPr>
      <w:rPr>
        <w:rFonts w:hint="default"/>
      </w:rPr>
    </w:lvl>
    <w:lvl w:ilvl="8" w:tplc="AA82BB1C">
      <w:start w:val="1"/>
      <w:numFmt w:val="bullet"/>
      <w:lvlText w:val="•"/>
      <w:lvlJc w:val="left"/>
      <w:pPr>
        <w:ind w:left="2558" w:hanging="252"/>
      </w:pPr>
      <w:rPr>
        <w:rFonts w:hint="default"/>
      </w:rPr>
    </w:lvl>
  </w:abstractNum>
  <w:abstractNum w:abstractNumId="7" w15:restartNumberingAfterBreak="0">
    <w:nsid w:val="02C437E9"/>
    <w:multiLevelType w:val="hybridMultilevel"/>
    <w:tmpl w:val="5EB0F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4066FFB"/>
    <w:multiLevelType w:val="hybridMultilevel"/>
    <w:tmpl w:val="68889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8D0BCE"/>
    <w:multiLevelType w:val="hybridMultilevel"/>
    <w:tmpl w:val="2FF65C38"/>
    <w:lvl w:ilvl="0" w:tplc="64E06966">
      <w:start w:val="1"/>
      <w:numFmt w:val="bullet"/>
      <w:lvlText w:val=""/>
      <w:lvlJc w:val="left"/>
      <w:pPr>
        <w:ind w:left="472" w:hanging="361"/>
      </w:pPr>
      <w:rPr>
        <w:rFonts w:ascii="Symbol" w:eastAsia="Symbol" w:hAnsi="Symbol" w:hint="default"/>
        <w:w w:val="100"/>
      </w:rPr>
    </w:lvl>
    <w:lvl w:ilvl="1" w:tplc="0466192C">
      <w:start w:val="1"/>
      <w:numFmt w:val="bullet"/>
      <w:lvlText w:val=""/>
      <w:lvlJc w:val="left"/>
      <w:pPr>
        <w:ind w:left="333" w:hanging="361"/>
      </w:pPr>
      <w:rPr>
        <w:rFonts w:ascii="Symbol" w:eastAsia="Symbol" w:hAnsi="Symbol" w:hint="default"/>
        <w:w w:val="100"/>
        <w:sz w:val="22"/>
        <w:szCs w:val="22"/>
      </w:rPr>
    </w:lvl>
    <w:lvl w:ilvl="2" w:tplc="073E56E6">
      <w:start w:val="1"/>
      <w:numFmt w:val="bullet"/>
      <w:lvlText w:val="•"/>
      <w:lvlJc w:val="left"/>
      <w:pPr>
        <w:ind w:left="580" w:hanging="361"/>
      </w:pPr>
      <w:rPr>
        <w:rFonts w:hint="default"/>
      </w:rPr>
    </w:lvl>
    <w:lvl w:ilvl="3" w:tplc="40462440">
      <w:start w:val="1"/>
      <w:numFmt w:val="bullet"/>
      <w:lvlText w:val="•"/>
      <w:lvlJc w:val="left"/>
      <w:pPr>
        <w:ind w:left="1810" w:hanging="361"/>
      </w:pPr>
      <w:rPr>
        <w:rFonts w:hint="default"/>
      </w:rPr>
    </w:lvl>
    <w:lvl w:ilvl="4" w:tplc="18302EB0">
      <w:start w:val="1"/>
      <w:numFmt w:val="bullet"/>
      <w:lvlText w:val="•"/>
      <w:lvlJc w:val="left"/>
      <w:pPr>
        <w:ind w:left="3041" w:hanging="361"/>
      </w:pPr>
      <w:rPr>
        <w:rFonts w:hint="default"/>
      </w:rPr>
    </w:lvl>
    <w:lvl w:ilvl="5" w:tplc="8668EAA4">
      <w:start w:val="1"/>
      <w:numFmt w:val="bullet"/>
      <w:lvlText w:val="•"/>
      <w:lvlJc w:val="left"/>
      <w:pPr>
        <w:ind w:left="4272" w:hanging="361"/>
      </w:pPr>
      <w:rPr>
        <w:rFonts w:hint="default"/>
      </w:rPr>
    </w:lvl>
    <w:lvl w:ilvl="6" w:tplc="2512A17C">
      <w:start w:val="1"/>
      <w:numFmt w:val="bullet"/>
      <w:lvlText w:val="•"/>
      <w:lvlJc w:val="left"/>
      <w:pPr>
        <w:ind w:left="5503" w:hanging="361"/>
      </w:pPr>
      <w:rPr>
        <w:rFonts w:hint="default"/>
      </w:rPr>
    </w:lvl>
    <w:lvl w:ilvl="7" w:tplc="8DD81D82">
      <w:start w:val="1"/>
      <w:numFmt w:val="bullet"/>
      <w:lvlText w:val="•"/>
      <w:lvlJc w:val="left"/>
      <w:pPr>
        <w:ind w:left="6734" w:hanging="361"/>
      </w:pPr>
      <w:rPr>
        <w:rFonts w:hint="default"/>
      </w:rPr>
    </w:lvl>
    <w:lvl w:ilvl="8" w:tplc="8D96519A">
      <w:start w:val="1"/>
      <w:numFmt w:val="bullet"/>
      <w:lvlText w:val="•"/>
      <w:lvlJc w:val="left"/>
      <w:pPr>
        <w:ind w:left="7964" w:hanging="361"/>
      </w:pPr>
      <w:rPr>
        <w:rFonts w:hint="default"/>
      </w:rPr>
    </w:lvl>
  </w:abstractNum>
  <w:abstractNum w:abstractNumId="10" w15:restartNumberingAfterBreak="0">
    <w:nsid w:val="17666834"/>
    <w:multiLevelType w:val="hybridMultilevel"/>
    <w:tmpl w:val="A63CFE0E"/>
    <w:lvl w:ilvl="0" w:tplc="09FC45C6">
      <w:start w:val="1"/>
      <w:numFmt w:val="bullet"/>
      <w:lvlText w:val=""/>
      <w:lvlJc w:val="left"/>
      <w:pPr>
        <w:ind w:left="355" w:hanging="252"/>
      </w:pPr>
      <w:rPr>
        <w:rFonts w:ascii="Symbol" w:eastAsia="Symbol" w:hAnsi="Symbol" w:hint="default"/>
        <w:w w:val="100"/>
        <w:sz w:val="18"/>
        <w:szCs w:val="18"/>
      </w:rPr>
    </w:lvl>
    <w:lvl w:ilvl="1" w:tplc="1EFACDB8">
      <w:start w:val="1"/>
      <w:numFmt w:val="bullet"/>
      <w:lvlText w:val="•"/>
      <w:lvlJc w:val="left"/>
      <w:pPr>
        <w:ind w:left="634" w:hanging="252"/>
      </w:pPr>
      <w:rPr>
        <w:rFonts w:hint="default"/>
      </w:rPr>
    </w:lvl>
    <w:lvl w:ilvl="2" w:tplc="B0869D52">
      <w:start w:val="1"/>
      <w:numFmt w:val="bullet"/>
      <w:lvlText w:val="•"/>
      <w:lvlJc w:val="left"/>
      <w:pPr>
        <w:ind w:left="909" w:hanging="252"/>
      </w:pPr>
      <w:rPr>
        <w:rFonts w:hint="default"/>
      </w:rPr>
    </w:lvl>
    <w:lvl w:ilvl="3" w:tplc="EB581EC2">
      <w:start w:val="1"/>
      <w:numFmt w:val="bullet"/>
      <w:lvlText w:val="•"/>
      <w:lvlJc w:val="left"/>
      <w:pPr>
        <w:ind w:left="1184" w:hanging="252"/>
      </w:pPr>
      <w:rPr>
        <w:rFonts w:hint="default"/>
      </w:rPr>
    </w:lvl>
    <w:lvl w:ilvl="4" w:tplc="798C72B4">
      <w:start w:val="1"/>
      <w:numFmt w:val="bullet"/>
      <w:lvlText w:val="•"/>
      <w:lvlJc w:val="left"/>
      <w:pPr>
        <w:ind w:left="1459" w:hanging="252"/>
      </w:pPr>
      <w:rPr>
        <w:rFonts w:hint="default"/>
      </w:rPr>
    </w:lvl>
    <w:lvl w:ilvl="5" w:tplc="F842B0F6">
      <w:start w:val="1"/>
      <w:numFmt w:val="bullet"/>
      <w:lvlText w:val="•"/>
      <w:lvlJc w:val="left"/>
      <w:pPr>
        <w:ind w:left="1734" w:hanging="252"/>
      </w:pPr>
      <w:rPr>
        <w:rFonts w:hint="default"/>
      </w:rPr>
    </w:lvl>
    <w:lvl w:ilvl="6" w:tplc="5E66F5E2">
      <w:start w:val="1"/>
      <w:numFmt w:val="bullet"/>
      <w:lvlText w:val="•"/>
      <w:lvlJc w:val="left"/>
      <w:pPr>
        <w:ind w:left="2008" w:hanging="252"/>
      </w:pPr>
      <w:rPr>
        <w:rFonts w:hint="default"/>
      </w:rPr>
    </w:lvl>
    <w:lvl w:ilvl="7" w:tplc="8378F2B6">
      <w:start w:val="1"/>
      <w:numFmt w:val="bullet"/>
      <w:lvlText w:val="•"/>
      <w:lvlJc w:val="left"/>
      <w:pPr>
        <w:ind w:left="2283" w:hanging="252"/>
      </w:pPr>
      <w:rPr>
        <w:rFonts w:hint="default"/>
      </w:rPr>
    </w:lvl>
    <w:lvl w:ilvl="8" w:tplc="C3D07A38">
      <w:start w:val="1"/>
      <w:numFmt w:val="bullet"/>
      <w:lvlText w:val="•"/>
      <w:lvlJc w:val="left"/>
      <w:pPr>
        <w:ind w:left="2558" w:hanging="252"/>
      </w:pPr>
      <w:rPr>
        <w:rFonts w:hint="default"/>
      </w:rPr>
    </w:lvl>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A438CD"/>
    <w:multiLevelType w:val="hybridMultilevel"/>
    <w:tmpl w:val="8E968B64"/>
    <w:lvl w:ilvl="0" w:tplc="DB587664">
      <w:start w:val="1"/>
      <w:numFmt w:val="bullet"/>
      <w:lvlText w:val="-"/>
      <w:lvlJc w:val="left"/>
      <w:pPr>
        <w:ind w:left="720" w:hanging="360"/>
      </w:pPr>
      <w:rPr>
        <w:rFonts w:ascii="Courier New" w:hAnsi="Courier New" w:hint="default"/>
      </w:rPr>
    </w:lvl>
    <w:lvl w:ilvl="1" w:tplc="DB58766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E4388E"/>
    <w:multiLevelType w:val="hybridMultilevel"/>
    <w:tmpl w:val="C18A6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0C643E"/>
    <w:multiLevelType w:val="hybridMultilevel"/>
    <w:tmpl w:val="D3667C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2D2D54B0"/>
    <w:multiLevelType w:val="hybridMultilevel"/>
    <w:tmpl w:val="7918280A"/>
    <w:lvl w:ilvl="0" w:tplc="52B0B264">
      <w:start w:val="1"/>
      <w:numFmt w:val="bullet"/>
      <w:lvlText w:val=""/>
      <w:lvlJc w:val="left"/>
      <w:pPr>
        <w:ind w:left="360" w:hanging="360"/>
      </w:pPr>
      <w:rPr>
        <w:rFonts w:ascii="Symbol" w:eastAsia="Symbol" w:hAnsi="Symbol" w:hint="default"/>
        <w:w w:val="100"/>
        <w:sz w:val="18"/>
        <w:szCs w:val="18"/>
      </w:rPr>
    </w:lvl>
    <w:lvl w:ilvl="1" w:tplc="3D8A30A6">
      <w:start w:val="1"/>
      <w:numFmt w:val="bullet"/>
      <w:lvlText w:val="•"/>
      <w:lvlJc w:val="left"/>
      <w:pPr>
        <w:ind w:left="505" w:hanging="360"/>
      </w:pPr>
      <w:rPr>
        <w:rFonts w:hint="default"/>
      </w:rPr>
    </w:lvl>
    <w:lvl w:ilvl="2" w:tplc="D870DCDE">
      <w:start w:val="1"/>
      <w:numFmt w:val="bullet"/>
      <w:lvlText w:val="•"/>
      <w:lvlJc w:val="left"/>
      <w:pPr>
        <w:ind w:left="641" w:hanging="360"/>
      </w:pPr>
      <w:rPr>
        <w:rFonts w:hint="default"/>
      </w:rPr>
    </w:lvl>
    <w:lvl w:ilvl="3" w:tplc="D91A5EB4">
      <w:start w:val="1"/>
      <w:numFmt w:val="bullet"/>
      <w:lvlText w:val="•"/>
      <w:lvlJc w:val="left"/>
      <w:pPr>
        <w:ind w:left="776" w:hanging="360"/>
      </w:pPr>
      <w:rPr>
        <w:rFonts w:hint="default"/>
      </w:rPr>
    </w:lvl>
    <w:lvl w:ilvl="4" w:tplc="7B342198">
      <w:start w:val="1"/>
      <w:numFmt w:val="bullet"/>
      <w:lvlText w:val="•"/>
      <w:lvlJc w:val="left"/>
      <w:pPr>
        <w:ind w:left="912" w:hanging="360"/>
      </w:pPr>
      <w:rPr>
        <w:rFonts w:hint="default"/>
      </w:rPr>
    </w:lvl>
    <w:lvl w:ilvl="5" w:tplc="1B26E134">
      <w:start w:val="1"/>
      <w:numFmt w:val="bullet"/>
      <w:lvlText w:val="•"/>
      <w:lvlJc w:val="left"/>
      <w:pPr>
        <w:ind w:left="1047" w:hanging="360"/>
      </w:pPr>
      <w:rPr>
        <w:rFonts w:hint="default"/>
      </w:rPr>
    </w:lvl>
    <w:lvl w:ilvl="6" w:tplc="334AFEFA">
      <w:start w:val="1"/>
      <w:numFmt w:val="bullet"/>
      <w:lvlText w:val="•"/>
      <w:lvlJc w:val="left"/>
      <w:pPr>
        <w:ind w:left="1183" w:hanging="360"/>
      </w:pPr>
      <w:rPr>
        <w:rFonts w:hint="default"/>
      </w:rPr>
    </w:lvl>
    <w:lvl w:ilvl="7" w:tplc="7D2ED83A">
      <w:start w:val="1"/>
      <w:numFmt w:val="bullet"/>
      <w:lvlText w:val="•"/>
      <w:lvlJc w:val="left"/>
      <w:pPr>
        <w:ind w:left="1318" w:hanging="360"/>
      </w:pPr>
      <w:rPr>
        <w:rFonts w:hint="default"/>
      </w:rPr>
    </w:lvl>
    <w:lvl w:ilvl="8" w:tplc="B7604D74">
      <w:start w:val="1"/>
      <w:numFmt w:val="bullet"/>
      <w:lvlText w:val="•"/>
      <w:lvlJc w:val="left"/>
      <w:pPr>
        <w:ind w:left="1454" w:hanging="360"/>
      </w:pPr>
      <w:rPr>
        <w:rFonts w:hint="default"/>
      </w:rPr>
    </w:lvl>
  </w:abstractNum>
  <w:abstractNum w:abstractNumId="16" w15:restartNumberingAfterBreak="0">
    <w:nsid w:val="2DD212B9"/>
    <w:multiLevelType w:val="hybridMultilevel"/>
    <w:tmpl w:val="005E8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82666B"/>
    <w:multiLevelType w:val="hybridMultilevel"/>
    <w:tmpl w:val="E4CADA5C"/>
    <w:lvl w:ilvl="0" w:tplc="DB587664">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D92EB6"/>
    <w:multiLevelType w:val="hybridMultilevel"/>
    <w:tmpl w:val="991690AA"/>
    <w:lvl w:ilvl="0" w:tplc="910CF9E4">
      <w:start w:val="1"/>
      <w:numFmt w:val="bullet"/>
      <w:lvlText w:val=""/>
      <w:lvlJc w:val="left"/>
      <w:pPr>
        <w:ind w:left="2140" w:hanging="360"/>
      </w:pPr>
      <w:rPr>
        <w:rFonts w:ascii="Symbol" w:eastAsia="Symbol" w:hAnsi="Symbol" w:hint="default"/>
        <w:w w:val="100"/>
        <w:sz w:val="22"/>
        <w:szCs w:val="22"/>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BA12F1"/>
    <w:multiLevelType w:val="hybridMultilevel"/>
    <w:tmpl w:val="D8CA4C9A"/>
    <w:lvl w:ilvl="0" w:tplc="10F28136">
      <w:start w:val="1"/>
      <w:numFmt w:val="bullet"/>
      <w:lvlText w:val=""/>
      <w:lvlJc w:val="left"/>
      <w:pPr>
        <w:ind w:left="355" w:hanging="252"/>
      </w:pPr>
      <w:rPr>
        <w:rFonts w:ascii="Symbol" w:eastAsia="Symbol" w:hAnsi="Symbol" w:hint="default"/>
        <w:w w:val="100"/>
        <w:sz w:val="18"/>
        <w:szCs w:val="18"/>
      </w:rPr>
    </w:lvl>
    <w:lvl w:ilvl="1" w:tplc="7222DCD8">
      <w:start w:val="1"/>
      <w:numFmt w:val="bullet"/>
      <w:lvlText w:val="•"/>
      <w:lvlJc w:val="left"/>
      <w:pPr>
        <w:ind w:left="634" w:hanging="252"/>
      </w:pPr>
      <w:rPr>
        <w:rFonts w:hint="default"/>
      </w:rPr>
    </w:lvl>
    <w:lvl w:ilvl="2" w:tplc="DE3C358A">
      <w:start w:val="1"/>
      <w:numFmt w:val="bullet"/>
      <w:lvlText w:val="•"/>
      <w:lvlJc w:val="left"/>
      <w:pPr>
        <w:ind w:left="909" w:hanging="252"/>
      </w:pPr>
      <w:rPr>
        <w:rFonts w:hint="default"/>
      </w:rPr>
    </w:lvl>
    <w:lvl w:ilvl="3" w:tplc="7924CD96">
      <w:start w:val="1"/>
      <w:numFmt w:val="bullet"/>
      <w:lvlText w:val="•"/>
      <w:lvlJc w:val="left"/>
      <w:pPr>
        <w:ind w:left="1184" w:hanging="252"/>
      </w:pPr>
      <w:rPr>
        <w:rFonts w:hint="default"/>
      </w:rPr>
    </w:lvl>
    <w:lvl w:ilvl="4" w:tplc="9FDE7798">
      <w:start w:val="1"/>
      <w:numFmt w:val="bullet"/>
      <w:lvlText w:val="•"/>
      <w:lvlJc w:val="left"/>
      <w:pPr>
        <w:ind w:left="1459" w:hanging="252"/>
      </w:pPr>
      <w:rPr>
        <w:rFonts w:hint="default"/>
      </w:rPr>
    </w:lvl>
    <w:lvl w:ilvl="5" w:tplc="6F709CDC">
      <w:start w:val="1"/>
      <w:numFmt w:val="bullet"/>
      <w:lvlText w:val="•"/>
      <w:lvlJc w:val="left"/>
      <w:pPr>
        <w:ind w:left="1734" w:hanging="252"/>
      </w:pPr>
      <w:rPr>
        <w:rFonts w:hint="default"/>
      </w:rPr>
    </w:lvl>
    <w:lvl w:ilvl="6" w:tplc="28D25340">
      <w:start w:val="1"/>
      <w:numFmt w:val="bullet"/>
      <w:lvlText w:val="•"/>
      <w:lvlJc w:val="left"/>
      <w:pPr>
        <w:ind w:left="2008" w:hanging="252"/>
      </w:pPr>
      <w:rPr>
        <w:rFonts w:hint="default"/>
      </w:rPr>
    </w:lvl>
    <w:lvl w:ilvl="7" w:tplc="59FC91C2">
      <w:start w:val="1"/>
      <w:numFmt w:val="bullet"/>
      <w:lvlText w:val="•"/>
      <w:lvlJc w:val="left"/>
      <w:pPr>
        <w:ind w:left="2283" w:hanging="252"/>
      </w:pPr>
      <w:rPr>
        <w:rFonts w:hint="default"/>
      </w:rPr>
    </w:lvl>
    <w:lvl w:ilvl="8" w:tplc="4C4674F4">
      <w:start w:val="1"/>
      <w:numFmt w:val="bullet"/>
      <w:lvlText w:val="•"/>
      <w:lvlJc w:val="left"/>
      <w:pPr>
        <w:ind w:left="2558" w:hanging="252"/>
      </w:pPr>
      <w:rPr>
        <w:rFonts w:hint="default"/>
      </w:rPr>
    </w:lvl>
  </w:abstractNum>
  <w:abstractNum w:abstractNumId="21" w15:restartNumberingAfterBreak="0">
    <w:nsid w:val="44511613"/>
    <w:multiLevelType w:val="hybridMultilevel"/>
    <w:tmpl w:val="2F8EA6F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2" w15:restartNumberingAfterBreak="0">
    <w:nsid w:val="4F542126"/>
    <w:multiLevelType w:val="hybridMultilevel"/>
    <w:tmpl w:val="E36654CE"/>
    <w:lvl w:ilvl="0" w:tplc="EA5EC08E">
      <w:start w:val="1"/>
      <w:numFmt w:val="bullet"/>
      <w:lvlText w:val=""/>
      <w:lvlJc w:val="left"/>
      <w:pPr>
        <w:ind w:left="720" w:hanging="360"/>
      </w:pPr>
      <w:rPr>
        <w:rFonts w:ascii="Symbol" w:hAnsi="Symbol" w:hint="default"/>
      </w:rPr>
    </w:lvl>
    <w:lvl w:ilvl="1" w:tplc="EA5EC08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4F3E9C"/>
    <w:multiLevelType w:val="hybridMultilevel"/>
    <w:tmpl w:val="4BA20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4C4424"/>
    <w:multiLevelType w:val="hybridMultilevel"/>
    <w:tmpl w:val="3774B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89089F"/>
    <w:multiLevelType w:val="hybridMultilevel"/>
    <w:tmpl w:val="E87A41BC"/>
    <w:lvl w:ilvl="0" w:tplc="0C090001">
      <w:start w:val="1"/>
      <w:numFmt w:val="bullet"/>
      <w:lvlText w:val=""/>
      <w:lvlJc w:val="left"/>
      <w:pPr>
        <w:ind w:left="1663" w:hanging="360"/>
      </w:pPr>
      <w:rPr>
        <w:rFonts w:ascii="Symbol" w:hAnsi="Symbol" w:hint="default"/>
      </w:rPr>
    </w:lvl>
    <w:lvl w:ilvl="1" w:tplc="0C090003" w:tentative="1">
      <w:start w:val="1"/>
      <w:numFmt w:val="bullet"/>
      <w:lvlText w:val="o"/>
      <w:lvlJc w:val="left"/>
      <w:pPr>
        <w:ind w:left="2383" w:hanging="360"/>
      </w:pPr>
      <w:rPr>
        <w:rFonts w:ascii="Courier New" w:hAnsi="Courier New" w:cs="Courier New" w:hint="default"/>
      </w:rPr>
    </w:lvl>
    <w:lvl w:ilvl="2" w:tplc="0C090005" w:tentative="1">
      <w:start w:val="1"/>
      <w:numFmt w:val="bullet"/>
      <w:lvlText w:val=""/>
      <w:lvlJc w:val="left"/>
      <w:pPr>
        <w:ind w:left="3103" w:hanging="360"/>
      </w:pPr>
      <w:rPr>
        <w:rFonts w:ascii="Wingdings" w:hAnsi="Wingdings" w:hint="default"/>
      </w:rPr>
    </w:lvl>
    <w:lvl w:ilvl="3" w:tplc="0C090001" w:tentative="1">
      <w:start w:val="1"/>
      <w:numFmt w:val="bullet"/>
      <w:lvlText w:val=""/>
      <w:lvlJc w:val="left"/>
      <w:pPr>
        <w:ind w:left="3823" w:hanging="360"/>
      </w:pPr>
      <w:rPr>
        <w:rFonts w:ascii="Symbol" w:hAnsi="Symbol" w:hint="default"/>
      </w:rPr>
    </w:lvl>
    <w:lvl w:ilvl="4" w:tplc="0C090003" w:tentative="1">
      <w:start w:val="1"/>
      <w:numFmt w:val="bullet"/>
      <w:lvlText w:val="o"/>
      <w:lvlJc w:val="left"/>
      <w:pPr>
        <w:ind w:left="4543" w:hanging="360"/>
      </w:pPr>
      <w:rPr>
        <w:rFonts w:ascii="Courier New" w:hAnsi="Courier New" w:cs="Courier New" w:hint="default"/>
      </w:rPr>
    </w:lvl>
    <w:lvl w:ilvl="5" w:tplc="0C090005" w:tentative="1">
      <w:start w:val="1"/>
      <w:numFmt w:val="bullet"/>
      <w:lvlText w:val=""/>
      <w:lvlJc w:val="left"/>
      <w:pPr>
        <w:ind w:left="5263" w:hanging="360"/>
      </w:pPr>
      <w:rPr>
        <w:rFonts w:ascii="Wingdings" w:hAnsi="Wingdings" w:hint="default"/>
      </w:rPr>
    </w:lvl>
    <w:lvl w:ilvl="6" w:tplc="0C090001" w:tentative="1">
      <w:start w:val="1"/>
      <w:numFmt w:val="bullet"/>
      <w:lvlText w:val=""/>
      <w:lvlJc w:val="left"/>
      <w:pPr>
        <w:ind w:left="5983" w:hanging="360"/>
      </w:pPr>
      <w:rPr>
        <w:rFonts w:ascii="Symbol" w:hAnsi="Symbol" w:hint="default"/>
      </w:rPr>
    </w:lvl>
    <w:lvl w:ilvl="7" w:tplc="0C090003" w:tentative="1">
      <w:start w:val="1"/>
      <w:numFmt w:val="bullet"/>
      <w:lvlText w:val="o"/>
      <w:lvlJc w:val="left"/>
      <w:pPr>
        <w:ind w:left="6703" w:hanging="360"/>
      </w:pPr>
      <w:rPr>
        <w:rFonts w:ascii="Courier New" w:hAnsi="Courier New" w:cs="Courier New" w:hint="default"/>
      </w:rPr>
    </w:lvl>
    <w:lvl w:ilvl="8" w:tplc="0C090005" w:tentative="1">
      <w:start w:val="1"/>
      <w:numFmt w:val="bullet"/>
      <w:lvlText w:val=""/>
      <w:lvlJc w:val="left"/>
      <w:pPr>
        <w:ind w:left="7423" w:hanging="360"/>
      </w:pPr>
      <w:rPr>
        <w:rFonts w:ascii="Wingdings" w:hAnsi="Wingdings" w:hint="default"/>
      </w:rPr>
    </w:lvl>
  </w:abstractNum>
  <w:abstractNum w:abstractNumId="26" w15:restartNumberingAfterBreak="0">
    <w:nsid w:val="5F6D1A40"/>
    <w:multiLevelType w:val="hybridMultilevel"/>
    <w:tmpl w:val="2CAE669A"/>
    <w:lvl w:ilvl="0" w:tplc="DB587664">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BB5B66"/>
    <w:multiLevelType w:val="hybridMultilevel"/>
    <w:tmpl w:val="56FC6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2A6572"/>
    <w:multiLevelType w:val="hybridMultilevel"/>
    <w:tmpl w:val="096CB2D4"/>
    <w:lvl w:ilvl="0" w:tplc="230269B2">
      <w:start w:val="1"/>
      <w:numFmt w:val="bullet"/>
      <w:lvlText w:val=""/>
      <w:lvlJc w:val="left"/>
      <w:pPr>
        <w:ind w:left="355" w:hanging="252"/>
      </w:pPr>
      <w:rPr>
        <w:rFonts w:ascii="Symbol" w:eastAsia="Symbol" w:hAnsi="Symbol" w:hint="default"/>
        <w:w w:val="100"/>
        <w:sz w:val="18"/>
        <w:szCs w:val="18"/>
      </w:rPr>
    </w:lvl>
    <w:lvl w:ilvl="1" w:tplc="2C04E83E">
      <w:start w:val="1"/>
      <w:numFmt w:val="bullet"/>
      <w:lvlText w:val="•"/>
      <w:lvlJc w:val="left"/>
      <w:pPr>
        <w:ind w:left="634" w:hanging="252"/>
      </w:pPr>
      <w:rPr>
        <w:rFonts w:hint="default"/>
      </w:rPr>
    </w:lvl>
    <w:lvl w:ilvl="2" w:tplc="4CE45F54">
      <w:start w:val="1"/>
      <w:numFmt w:val="bullet"/>
      <w:lvlText w:val="•"/>
      <w:lvlJc w:val="left"/>
      <w:pPr>
        <w:ind w:left="909" w:hanging="252"/>
      </w:pPr>
      <w:rPr>
        <w:rFonts w:hint="default"/>
      </w:rPr>
    </w:lvl>
    <w:lvl w:ilvl="3" w:tplc="70282F08">
      <w:start w:val="1"/>
      <w:numFmt w:val="bullet"/>
      <w:lvlText w:val="•"/>
      <w:lvlJc w:val="left"/>
      <w:pPr>
        <w:ind w:left="1184" w:hanging="252"/>
      </w:pPr>
      <w:rPr>
        <w:rFonts w:hint="default"/>
      </w:rPr>
    </w:lvl>
    <w:lvl w:ilvl="4" w:tplc="B8E49FB6">
      <w:start w:val="1"/>
      <w:numFmt w:val="bullet"/>
      <w:lvlText w:val="•"/>
      <w:lvlJc w:val="left"/>
      <w:pPr>
        <w:ind w:left="1459" w:hanging="252"/>
      </w:pPr>
      <w:rPr>
        <w:rFonts w:hint="default"/>
      </w:rPr>
    </w:lvl>
    <w:lvl w:ilvl="5" w:tplc="8B7CA66A">
      <w:start w:val="1"/>
      <w:numFmt w:val="bullet"/>
      <w:lvlText w:val="•"/>
      <w:lvlJc w:val="left"/>
      <w:pPr>
        <w:ind w:left="1734" w:hanging="252"/>
      </w:pPr>
      <w:rPr>
        <w:rFonts w:hint="default"/>
      </w:rPr>
    </w:lvl>
    <w:lvl w:ilvl="6" w:tplc="D95E832E">
      <w:start w:val="1"/>
      <w:numFmt w:val="bullet"/>
      <w:lvlText w:val="•"/>
      <w:lvlJc w:val="left"/>
      <w:pPr>
        <w:ind w:left="2008" w:hanging="252"/>
      </w:pPr>
      <w:rPr>
        <w:rFonts w:hint="default"/>
      </w:rPr>
    </w:lvl>
    <w:lvl w:ilvl="7" w:tplc="093EDC42">
      <w:start w:val="1"/>
      <w:numFmt w:val="bullet"/>
      <w:lvlText w:val="•"/>
      <w:lvlJc w:val="left"/>
      <w:pPr>
        <w:ind w:left="2283" w:hanging="252"/>
      </w:pPr>
      <w:rPr>
        <w:rFonts w:hint="default"/>
      </w:rPr>
    </w:lvl>
    <w:lvl w:ilvl="8" w:tplc="520871F8">
      <w:start w:val="1"/>
      <w:numFmt w:val="bullet"/>
      <w:lvlText w:val="•"/>
      <w:lvlJc w:val="left"/>
      <w:pPr>
        <w:ind w:left="2558" w:hanging="252"/>
      </w:pPr>
      <w:rPr>
        <w:rFonts w:hint="default"/>
      </w:rPr>
    </w:lvl>
  </w:abstractNum>
  <w:abstractNum w:abstractNumId="29" w15:restartNumberingAfterBreak="0">
    <w:nsid w:val="66744469"/>
    <w:multiLevelType w:val="hybridMultilevel"/>
    <w:tmpl w:val="5628B982"/>
    <w:lvl w:ilvl="0" w:tplc="6854FAF0">
      <w:start w:val="1"/>
      <w:numFmt w:val="decimal"/>
      <w:lvlText w:val="%1."/>
      <w:lvlJc w:val="left"/>
      <w:pPr>
        <w:ind w:left="540" w:hanging="428"/>
      </w:pPr>
      <w:rPr>
        <w:rFonts w:ascii="Arial" w:eastAsia="Arial" w:hAnsi="Arial" w:hint="default"/>
        <w:spacing w:val="-1"/>
        <w:w w:val="100"/>
        <w:sz w:val="22"/>
        <w:szCs w:val="22"/>
      </w:rPr>
    </w:lvl>
    <w:lvl w:ilvl="1" w:tplc="857677DC">
      <w:start w:val="1"/>
      <w:numFmt w:val="bullet"/>
      <w:lvlText w:val="•"/>
      <w:lvlJc w:val="left"/>
      <w:pPr>
        <w:ind w:left="1498" w:hanging="428"/>
      </w:pPr>
      <w:rPr>
        <w:rFonts w:hint="default"/>
      </w:rPr>
    </w:lvl>
    <w:lvl w:ilvl="2" w:tplc="99EA133A">
      <w:start w:val="1"/>
      <w:numFmt w:val="bullet"/>
      <w:lvlText w:val="•"/>
      <w:lvlJc w:val="left"/>
      <w:pPr>
        <w:ind w:left="2457" w:hanging="428"/>
      </w:pPr>
      <w:rPr>
        <w:rFonts w:hint="default"/>
      </w:rPr>
    </w:lvl>
    <w:lvl w:ilvl="3" w:tplc="188652D0">
      <w:start w:val="1"/>
      <w:numFmt w:val="bullet"/>
      <w:lvlText w:val="•"/>
      <w:lvlJc w:val="left"/>
      <w:pPr>
        <w:ind w:left="3415" w:hanging="428"/>
      </w:pPr>
      <w:rPr>
        <w:rFonts w:hint="default"/>
      </w:rPr>
    </w:lvl>
    <w:lvl w:ilvl="4" w:tplc="831EAFB0">
      <w:start w:val="1"/>
      <w:numFmt w:val="bullet"/>
      <w:lvlText w:val="•"/>
      <w:lvlJc w:val="left"/>
      <w:pPr>
        <w:ind w:left="4374" w:hanging="428"/>
      </w:pPr>
      <w:rPr>
        <w:rFonts w:hint="default"/>
      </w:rPr>
    </w:lvl>
    <w:lvl w:ilvl="5" w:tplc="7234A5CE">
      <w:start w:val="1"/>
      <w:numFmt w:val="bullet"/>
      <w:lvlText w:val="•"/>
      <w:lvlJc w:val="left"/>
      <w:pPr>
        <w:ind w:left="5333" w:hanging="428"/>
      </w:pPr>
      <w:rPr>
        <w:rFonts w:hint="default"/>
      </w:rPr>
    </w:lvl>
    <w:lvl w:ilvl="6" w:tplc="769A777E">
      <w:start w:val="1"/>
      <w:numFmt w:val="bullet"/>
      <w:lvlText w:val="•"/>
      <w:lvlJc w:val="left"/>
      <w:pPr>
        <w:ind w:left="6291" w:hanging="428"/>
      </w:pPr>
      <w:rPr>
        <w:rFonts w:hint="default"/>
      </w:rPr>
    </w:lvl>
    <w:lvl w:ilvl="7" w:tplc="A8F66A7A">
      <w:start w:val="1"/>
      <w:numFmt w:val="bullet"/>
      <w:lvlText w:val="•"/>
      <w:lvlJc w:val="left"/>
      <w:pPr>
        <w:ind w:left="7250" w:hanging="428"/>
      </w:pPr>
      <w:rPr>
        <w:rFonts w:hint="default"/>
      </w:rPr>
    </w:lvl>
    <w:lvl w:ilvl="8" w:tplc="37820340">
      <w:start w:val="1"/>
      <w:numFmt w:val="bullet"/>
      <w:lvlText w:val="•"/>
      <w:lvlJc w:val="left"/>
      <w:pPr>
        <w:ind w:left="8209" w:hanging="428"/>
      </w:pPr>
      <w:rPr>
        <w:rFonts w:hint="default"/>
      </w:rPr>
    </w:lvl>
  </w:abstractNum>
  <w:abstractNum w:abstractNumId="30" w15:restartNumberingAfterBreak="0">
    <w:nsid w:val="693D159F"/>
    <w:multiLevelType w:val="hybridMultilevel"/>
    <w:tmpl w:val="69627168"/>
    <w:lvl w:ilvl="0" w:tplc="3D0C5F40">
      <w:start w:val="1"/>
      <w:numFmt w:val="bullet"/>
      <w:lvlText w:val=""/>
      <w:lvlJc w:val="left"/>
      <w:pPr>
        <w:ind w:left="355" w:hanging="252"/>
      </w:pPr>
      <w:rPr>
        <w:rFonts w:ascii="Symbol" w:eastAsia="Symbol" w:hAnsi="Symbol" w:hint="default"/>
        <w:w w:val="100"/>
        <w:sz w:val="18"/>
        <w:szCs w:val="18"/>
      </w:rPr>
    </w:lvl>
    <w:lvl w:ilvl="1" w:tplc="B6E64CC4">
      <w:start w:val="1"/>
      <w:numFmt w:val="bullet"/>
      <w:lvlText w:val="•"/>
      <w:lvlJc w:val="left"/>
      <w:pPr>
        <w:ind w:left="634" w:hanging="252"/>
      </w:pPr>
      <w:rPr>
        <w:rFonts w:hint="default"/>
      </w:rPr>
    </w:lvl>
    <w:lvl w:ilvl="2" w:tplc="77CC4E46">
      <w:start w:val="1"/>
      <w:numFmt w:val="bullet"/>
      <w:lvlText w:val="•"/>
      <w:lvlJc w:val="left"/>
      <w:pPr>
        <w:ind w:left="909" w:hanging="252"/>
      </w:pPr>
      <w:rPr>
        <w:rFonts w:hint="default"/>
      </w:rPr>
    </w:lvl>
    <w:lvl w:ilvl="3" w:tplc="3AE6F0B2">
      <w:start w:val="1"/>
      <w:numFmt w:val="bullet"/>
      <w:lvlText w:val="•"/>
      <w:lvlJc w:val="left"/>
      <w:pPr>
        <w:ind w:left="1184" w:hanging="252"/>
      </w:pPr>
      <w:rPr>
        <w:rFonts w:hint="default"/>
      </w:rPr>
    </w:lvl>
    <w:lvl w:ilvl="4" w:tplc="64DE171E">
      <w:start w:val="1"/>
      <w:numFmt w:val="bullet"/>
      <w:lvlText w:val="•"/>
      <w:lvlJc w:val="left"/>
      <w:pPr>
        <w:ind w:left="1459" w:hanging="252"/>
      </w:pPr>
      <w:rPr>
        <w:rFonts w:hint="default"/>
      </w:rPr>
    </w:lvl>
    <w:lvl w:ilvl="5" w:tplc="2CC63030">
      <w:start w:val="1"/>
      <w:numFmt w:val="bullet"/>
      <w:lvlText w:val="•"/>
      <w:lvlJc w:val="left"/>
      <w:pPr>
        <w:ind w:left="1734" w:hanging="252"/>
      </w:pPr>
      <w:rPr>
        <w:rFonts w:hint="default"/>
      </w:rPr>
    </w:lvl>
    <w:lvl w:ilvl="6" w:tplc="01A6B484">
      <w:start w:val="1"/>
      <w:numFmt w:val="bullet"/>
      <w:lvlText w:val="•"/>
      <w:lvlJc w:val="left"/>
      <w:pPr>
        <w:ind w:left="2008" w:hanging="252"/>
      </w:pPr>
      <w:rPr>
        <w:rFonts w:hint="default"/>
      </w:rPr>
    </w:lvl>
    <w:lvl w:ilvl="7" w:tplc="CE1803C0">
      <w:start w:val="1"/>
      <w:numFmt w:val="bullet"/>
      <w:lvlText w:val="•"/>
      <w:lvlJc w:val="left"/>
      <w:pPr>
        <w:ind w:left="2283" w:hanging="252"/>
      </w:pPr>
      <w:rPr>
        <w:rFonts w:hint="default"/>
      </w:rPr>
    </w:lvl>
    <w:lvl w:ilvl="8" w:tplc="54AA68A8">
      <w:start w:val="1"/>
      <w:numFmt w:val="bullet"/>
      <w:lvlText w:val="•"/>
      <w:lvlJc w:val="left"/>
      <w:pPr>
        <w:ind w:left="2558" w:hanging="252"/>
      </w:pPr>
      <w:rPr>
        <w:rFonts w:hint="default"/>
      </w:rPr>
    </w:lvl>
  </w:abstractNum>
  <w:abstractNum w:abstractNumId="31" w15:restartNumberingAfterBreak="0">
    <w:nsid w:val="6EE92352"/>
    <w:multiLevelType w:val="hybridMultilevel"/>
    <w:tmpl w:val="6944B70E"/>
    <w:lvl w:ilvl="0" w:tplc="16B8F946">
      <w:start w:val="1"/>
      <w:numFmt w:val="bullet"/>
      <w:lvlText w:val=""/>
      <w:lvlJc w:val="left"/>
      <w:pPr>
        <w:ind w:left="361" w:hanging="361"/>
      </w:pPr>
      <w:rPr>
        <w:rFonts w:ascii="Symbol" w:eastAsia="Symbol" w:hAnsi="Symbol" w:hint="default"/>
        <w:w w:val="100"/>
        <w:sz w:val="22"/>
        <w:szCs w:val="22"/>
      </w:rPr>
    </w:lvl>
    <w:lvl w:ilvl="1" w:tplc="A59CFF9E">
      <w:start w:val="1"/>
      <w:numFmt w:val="bullet"/>
      <w:lvlText w:val=""/>
      <w:lvlJc w:val="left"/>
      <w:pPr>
        <w:ind w:left="853" w:hanging="492"/>
      </w:pPr>
      <w:rPr>
        <w:rFonts w:ascii="Symbol" w:eastAsia="Symbol" w:hAnsi="Symbol" w:hint="default"/>
        <w:w w:val="100"/>
        <w:sz w:val="22"/>
        <w:szCs w:val="22"/>
      </w:rPr>
    </w:lvl>
    <w:lvl w:ilvl="2" w:tplc="F832422E">
      <w:start w:val="1"/>
      <w:numFmt w:val="bullet"/>
      <w:lvlText w:val="•"/>
      <w:lvlJc w:val="left"/>
      <w:pPr>
        <w:ind w:left="1866" w:hanging="492"/>
      </w:pPr>
      <w:rPr>
        <w:rFonts w:hint="default"/>
      </w:rPr>
    </w:lvl>
    <w:lvl w:ilvl="3" w:tplc="3574FA58">
      <w:start w:val="1"/>
      <w:numFmt w:val="bullet"/>
      <w:lvlText w:val="•"/>
      <w:lvlJc w:val="left"/>
      <w:pPr>
        <w:ind w:left="2884" w:hanging="492"/>
      </w:pPr>
      <w:rPr>
        <w:rFonts w:hint="default"/>
      </w:rPr>
    </w:lvl>
    <w:lvl w:ilvl="4" w:tplc="910A97FE">
      <w:start w:val="1"/>
      <w:numFmt w:val="bullet"/>
      <w:lvlText w:val="•"/>
      <w:lvlJc w:val="left"/>
      <w:pPr>
        <w:ind w:left="3903" w:hanging="492"/>
      </w:pPr>
      <w:rPr>
        <w:rFonts w:hint="default"/>
      </w:rPr>
    </w:lvl>
    <w:lvl w:ilvl="5" w:tplc="706C39BE">
      <w:start w:val="1"/>
      <w:numFmt w:val="bullet"/>
      <w:lvlText w:val="•"/>
      <w:lvlJc w:val="left"/>
      <w:pPr>
        <w:ind w:left="4921" w:hanging="492"/>
      </w:pPr>
      <w:rPr>
        <w:rFonts w:hint="default"/>
      </w:rPr>
    </w:lvl>
    <w:lvl w:ilvl="6" w:tplc="8E2EFFB6">
      <w:start w:val="1"/>
      <w:numFmt w:val="bullet"/>
      <w:lvlText w:val="•"/>
      <w:lvlJc w:val="left"/>
      <w:pPr>
        <w:ind w:left="5940" w:hanging="492"/>
      </w:pPr>
      <w:rPr>
        <w:rFonts w:hint="default"/>
      </w:rPr>
    </w:lvl>
    <w:lvl w:ilvl="7" w:tplc="B34A8A14">
      <w:start w:val="1"/>
      <w:numFmt w:val="bullet"/>
      <w:lvlText w:val="•"/>
      <w:lvlJc w:val="left"/>
      <w:pPr>
        <w:ind w:left="6958" w:hanging="492"/>
      </w:pPr>
      <w:rPr>
        <w:rFonts w:hint="default"/>
      </w:rPr>
    </w:lvl>
    <w:lvl w:ilvl="8" w:tplc="C908CEFE">
      <w:start w:val="1"/>
      <w:numFmt w:val="bullet"/>
      <w:lvlText w:val="•"/>
      <w:lvlJc w:val="left"/>
      <w:pPr>
        <w:ind w:left="7977" w:hanging="492"/>
      </w:pPr>
      <w:rPr>
        <w:rFonts w:hint="default"/>
      </w:rPr>
    </w:lvl>
  </w:abstractNum>
  <w:abstractNum w:abstractNumId="32" w15:restartNumberingAfterBreak="0">
    <w:nsid w:val="72DB0F79"/>
    <w:multiLevelType w:val="hybridMultilevel"/>
    <w:tmpl w:val="8A429062"/>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3" w15:restartNumberingAfterBreak="0">
    <w:nsid w:val="72DD5FEA"/>
    <w:multiLevelType w:val="multilevel"/>
    <w:tmpl w:val="9C60AE34"/>
    <w:lvl w:ilvl="0">
      <w:start w:val="1"/>
      <w:numFmt w:val="decimal"/>
      <w:pStyle w:val="Style2"/>
      <w:lvlText w:val="%1."/>
      <w:lvlJc w:val="left"/>
      <w:pPr>
        <w:tabs>
          <w:tab w:val="num" w:pos="454"/>
        </w:tabs>
        <w:ind w:left="454" w:hanging="454"/>
      </w:pPr>
      <w:rPr>
        <w:rFonts w:hint="default"/>
        <w:b/>
        <w:i w:val="0"/>
      </w:rPr>
    </w:lvl>
    <w:lvl w:ilvl="1">
      <w:start w:val="1"/>
      <w:numFmt w:val="bullet"/>
      <w:lvlRestart w:val="0"/>
      <w:pStyle w:val="bulletpoint"/>
      <w:lvlText w:val=""/>
      <w:lvlJc w:val="left"/>
      <w:pPr>
        <w:tabs>
          <w:tab w:val="num" w:pos="454"/>
        </w:tabs>
        <w:ind w:left="454" w:hanging="454"/>
      </w:pPr>
      <w:rPr>
        <w:rFonts w:ascii="Symbol" w:hAnsi="Symbol" w:hint="default"/>
        <w:b w:val="0"/>
        <w:i w:val="0"/>
      </w:rPr>
    </w:lvl>
    <w:lvl w:ilvl="2">
      <w:start w:val="1"/>
      <w:numFmt w:val="bullet"/>
      <w:lvlRestart w:val="0"/>
      <w:pStyle w:val="dashpoint"/>
      <w:lvlText w:val="–"/>
      <w:lvlJc w:val="left"/>
      <w:pPr>
        <w:tabs>
          <w:tab w:val="num" w:pos="907"/>
        </w:tabs>
        <w:ind w:left="907" w:hanging="453"/>
      </w:pPr>
      <w:rPr>
        <w:rFonts w:ascii="Times New Roman" w:hAnsi="Times New Roman" w:cs="Times New Roman" w:hint="default"/>
        <w:b w:val="0"/>
        <w:i w:val="0"/>
      </w:rPr>
    </w:lvl>
    <w:lvl w:ilvl="3">
      <w:start w:val="1"/>
      <w:numFmt w:val="decimal"/>
      <w:lvlText w:val="%1.%2.%3.%4"/>
      <w:lvlJc w:val="left"/>
      <w:pPr>
        <w:tabs>
          <w:tab w:val="num" w:pos="2041"/>
        </w:tabs>
        <w:ind w:left="2041" w:hanging="907"/>
      </w:pPr>
      <w:rPr>
        <w:rFonts w:hint="default"/>
        <w:b w:val="0"/>
        <w:i w:val="0"/>
      </w:rPr>
    </w:lvl>
    <w:lvl w:ilvl="4">
      <w:start w:val="1"/>
      <w:numFmt w:val="decimal"/>
      <w:lvlText w:val="%1.%2.%3.%4.%5."/>
      <w:lvlJc w:val="left"/>
      <w:pPr>
        <w:tabs>
          <w:tab w:val="num" w:pos="4111"/>
        </w:tabs>
        <w:ind w:left="4111" w:hanging="1134"/>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73B00029"/>
    <w:multiLevelType w:val="hybridMultilevel"/>
    <w:tmpl w:val="CB1A3C58"/>
    <w:lvl w:ilvl="0" w:tplc="6C10FCBC">
      <w:start w:val="1"/>
      <w:numFmt w:val="bullet"/>
      <w:lvlText w:val=""/>
      <w:lvlJc w:val="left"/>
      <w:pPr>
        <w:ind w:left="472" w:hanging="361"/>
      </w:pPr>
      <w:rPr>
        <w:rFonts w:ascii="Symbol" w:eastAsia="Symbol" w:hAnsi="Symbol" w:hint="default"/>
        <w:w w:val="100"/>
        <w:sz w:val="22"/>
        <w:szCs w:val="22"/>
      </w:rPr>
    </w:lvl>
    <w:lvl w:ilvl="1" w:tplc="859EA548">
      <w:start w:val="1"/>
      <w:numFmt w:val="bullet"/>
      <w:lvlText w:val="•"/>
      <w:lvlJc w:val="left"/>
      <w:pPr>
        <w:ind w:left="1444" w:hanging="361"/>
      </w:pPr>
      <w:rPr>
        <w:rFonts w:hint="default"/>
      </w:rPr>
    </w:lvl>
    <w:lvl w:ilvl="2" w:tplc="27C879D0">
      <w:start w:val="1"/>
      <w:numFmt w:val="bullet"/>
      <w:lvlText w:val="•"/>
      <w:lvlJc w:val="left"/>
      <w:pPr>
        <w:ind w:left="2409" w:hanging="361"/>
      </w:pPr>
      <w:rPr>
        <w:rFonts w:hint="default"/>
      </w:rPr>
    </w:lvl>
    <w:lvl w:ilvl="3" w:tplc="BA0A8A5C">
      <w:start w:val="1"/>
      <w:numFmt w:val="bullet"/>
      <w:lvlText w:val="•"/>
      <w:lvlJc w:val="left"/>
      <w:pPr>
        <w:ind w:left="3373" w:hanging="361"/>
      </w:pPr>
      <w:rPr>
        <w:rFonts w:hint="default"/>
      </w:rPr>
    </w:lvl>
    <w:lvl w:ilvl="4" w:tplc="8772A5AE">
      <w:start w:val="1"/>
      <w:numFmt w:val="bullet"/>
      <w:lvlText w:val="•"/>
      <w:lvlJc w:val="left"/>
      <w:pPr>
        <w:ind w:left="4338" w:hanging="361"/>
      </w:pPr>
      <w:rPr>
        <w:rFonts w:hint="default"/>
      </w:rPr>
    </w:lvl>
    <w:lvl w:ilvl="5" w:tplc="9064C8B0">
      <w:start w:val="1"/>
      <w:numFmt w:val="bullet"/>
      <w:lvlText w:val="•"/>
      <w:lvlJc w:val="left"/>
      <w:pPr>
        <w:ind w:left="5303" w:hanging="361"/>
      </w:pPr>
      <w:rPr>
        <w:rFonts w:hint="default"/>
      </w:rPr>
    </w:lvl>
    <w:lvl w:ilvl="6" w:tplc="A8BEF74C">
      <w:start w:val="1"/>
      <w:numFmt w:val="bullet"/>
      <w:lvlText w:val="•"/>
      <w:lvlJc w:val="left"/>
      <w:pPr>
        <w:ind w:left="6267" w:hanging="361"/>
      </w:pPr>
      <w:rPr>
        <w:rFonts w:hint="default"/>
      </w:rPr>
    </w:lvl>
    <w:lvl w:ilvl="7" w:tplc="D34CC254">
      <w:start w:val="1"/>
      <w:numFmt w:val="bullet"/>
      <w:lvlText w:val="•"/>
      <w:lvlJc w:val="left"/>
      <w:pPr>
        <w:ind w:left="7232" w:hanging="361"/>
      </w:pPr>
      <w:rPr>
        <w:rFonts w:hint="default"/>
      </w:rPr>
    </w:lvl>
    <w:lvl w:ilvl="8" w:tplc="A808DEF2">
      <w:start w:val="1"/>
      <w:numFmt w:val="bullet"/>
      <w:lvlText w:val="•"/>
      <w:lvlJc w:val="left"/>
      <w:pPr>
        <w:ind w:left="8197" w:hanging="361"/>
      </w:pPr>
      <w:rPr>
        <w:rFonts w:hint="default"/>
      </w:rPr>
    </w:lvl>
  </w:abstractNum>
  <w:abstractNum w:abstractNumId="35" w15:restartNumberingAfterBreak="0">
    <w:nsid w:val="73F30A20"/>
    <w:multiLevelType w:val="hybridMultilevel"/>
    <w:tmpl w:val="5176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806E2D"/>
    <w:multiLevelType w:val="hybridMultilevel"/>
    <w:tmpl w:val="0B68EE18"/>
    <w:lvl w:ilvl="0" w:tplc="DB5876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A512C2"/>
    <w:multiLevelType w:val="hybridMultilevel"/>
    <w:tmpl w:val="7AFC8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965F80"/>
    <w:multiLevelType w:val="hybridMultilevel"/>
    <w:tmpl w:val="0F6AAD5A"/>
    <w:lvl w:ilvl="0" w:tplc="0C09000F">
      <w:start w:val="1"/>
      <w:numFmt w:val="decimal"/>
      <w:lvlText w:val="%1."/>
      <w:lvlJc w:val="left"/>
      <w:pPr>
        <w:ind w:left="472" w:hanging="360"/>
      </w:p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9"/>
  </w:num>
  <w:num w:numId="8">
    <w:abstractNumId w:val="21"/>
  </w:num>
  <w:num w:numId="9">
    <w:abstractNumId w:val="5"/>
  </w:num>
  <w:num w:numId="10">
    <w:abstractNumId w:val="9"/>
  </w:num>
  <w:num w:numId="11">
    <w:abstractNumId w:val="15"/>
  </w:num>
  <w:num w:numId="12">
    <w:abstractNumId w:val="10"/>
  </w:num>
  <w:num w:numId="13">
    <w:abstractNumId w:val="6"/>
  </w:num>
  <w:num w:numId="14">
    <w:abstractNumId w:val="28"/>
  </w:num>
  <w:num w:numId="15">
    <w:abstractNumId w:val="30"/>
  </w:num>
  <w:num w:numId="16">
    <w:abstractNumId w:val="20"/>
  </w:num>
  <w:num w:numId="17">
    <w:abstractNumId w:val="37"/>
  </w:num>
  <w:num w:numId="18">
    <w:abstractNumId w:val="18"/>
  </w:num>
  <w:num w:numId="19">
    <w:abstractNumId w:val="34"/>
  </w:num>
  <w:num w:numId="20">
    <w:abstractNumId w:val="31"/>
  </w:num>
  <w:num w:numId="21">
    <w:abstractNumId w:val="16"/>
  </w:num>
  <w:num w:numId="22">
    <w:abstractNumId w:val="27"/>
  </w:num>
  <w:num w:numId="23">
    <w:abstractNumId w:val="12"/>
  </w:num>
  <w:num w:numId="24">
    <w:abstractNumId w:val="13"/>
  </w:num>
  <w:num w:numId="25">
    <w:abstractNumId w:val="25"/>
  </w:num>
  <w:num w:numId="26">
    <w:abstractNumId w:val="32"/>
  </w:num>
  <w:num w:numId="27">
    <w:abstractNumId w:val="8"/>
  </w:num>
  <w:num w:numId="28">
    <w:abstractNumId w:val="23"/>
  </w:num>
  <w:num w:numId="29">
    <w:abstractNumId w:val="22"/>
  </w:num>
  <w:num w:numId="30">
    <w:abstractNumId w:val="36"/>
  </w:num>
  <w:num w:numId="31">
    <w:abstractNumId w:val="17"/>
  </w:num>
  <w:num w:numId="32">
    <w:abstractNumId w:val="26"/>
  </w:num>
  <w:num w:numId="33">
    <w:abstractNumId w:val="35"/>
  </w:num>
  <w:num w:numId="34">
    <w:abstractNumId w:val="24"/>
  </w:num>
  <w:num w:numId="35">
    <w:abstractNumId w:val="29"/>
  </w:num>
  <w:num w:numId="36">
    <w:abstractNumId w:val="33"/>
  </w:num>
  <w:num w:numId="37">
    <w:abstractNumId w:val="38"/>
  </w:num>
  <w:num w:numId="38">
    <w:abstractNumId w:val="14"/>
  </w:num>
  <w:num w:numId="39">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67"/>
    <w:rsid w:val="00001272"/>
    <w:rsid w:val="000013CA"/>
    <w:rsid w:val="000056BC"/>
    <w:rsid w:val="000107A4"/>
    <w:rsid w:val="00012254"/>
    <w:rsid w:val="00016072"/>
    <w:rsid w:val="00024DCD"/>
    <w:rsid w:val="00026F74"/>
    <w:rsid w:val="00030B5F"/>
    <w:rsid w:val="0003296E"/>
    <w:rsid w:val="00035B36"/>
    <w:rsid w:val="000371E9"/>
    <w:rsid w:val="000420D0"/>
    <w:rsid w:val="00042DE5"/>
    <w:rsid w:val="00043216"/>
    <w:rsid w:val="00043C2B"/>
    <w:rsid w:val="00045104"/>
    <w:rsid w:val="000532A5"/>
    <w:rsid w:val="000533A2"/>
    <w:rsid w:val="00056697"/>
    <w:rsid w:val="00060E4F"/>
    <w:rsid w:val="000636FA"/>
    <w:rsid w:val="000657A4"/>
    <w:rsid w:val="00067B4E"/>
    <w:rsid w:val="00076460"/>
    <w:rsid w:val="0007674A"/>
    <w:rsid w:val="00084B55"/>
    <w:rsid w:val="00091676"/>
    <w:rsid w:val="00093459"/>
    <w:rsid w:val="000A0275"/>
    <w:rsid w:val="000A5837"/>
    <w:rsid w:val="000B7904"/>
    <w:rsid w:val="000C3226"/>
    <w:rsid w:val="000C6213"/>
    <w:rsid w:val="000D2153"/>
    <w:rsid w:val="000D3E23"/>
    <w:rsid w:val="000D580C"/>
    <w:rsid w:val="000D6C39"/>
    <w:rsid w:val="000E59B7"/>
    <w:rsid w:val="000E5EBE"/>
    <w:rsid w:val="000E776F"/>
    <w:rsid w:val="000F0BC6"/>
    <w:rsid w:val="000F164D"/>
    <w:rsid w:val="00100770"/>
    <w:rsid w:val="00103A67"/>
    <w:rsid w:val="001046DB"/>
    <w:rsid w:val="00107286"/>
    <w:rsid w:val="0011044E"/>
    <w:rsid w:val="00124889"/>
    <w:rsid w:val="00126970"/>
    <w:rsid w:val="00126F4C"/>
    <w:rsid w:val="0013063D"/>
    <w:rsid w:val="0013086B"/>
    <w:rsid w:val="00133CC5"/>
    <w:rsid w:val="001372B6"/>
    <w:rsid w:val="00170FBE"/>
    <w:rsid w:val="0017349F"/>
    <w:rsid w:val="00174797"/>
    <w:rsid w:val="001747D9"/>
    <w:rsid w:val="00180613"/>
    <w:rsid w:val="00183475"/>
    <w:rsid w:val="00185C72"/>
    <w:rsid w:val="00193338"/>
    <w:rsid w:val="0019393C"/>
    <w:rsid w:val="00193D28"/>
    <w:rsid w:val="001B0638"/>
    <w:rsid w:val="001B1354"/>
    <w:rsid w:val="001B7342"/>
    <w:rsid w:val="001D5782"/>
    <w:rsid w:val="001D617A"/>
    <w:rsid w:val="001D695F"/>
    <w:rsid w:val="001E71B8"/>
    <w:rsid w:val="001F00EC"/>
    <w:rsid w:val="001F1C0B"/>
    <w:rsid w:val="001F3CB5"/>
    <w:rsid w:val="001F5A45"/>
    <w:rsid w:val="001F6E9E"/>
    <w:rsid w:val="002014B6"/>
    <w:rsid w:val="00203BDC"/>
    <w:rsid w:val="002048E3"/>
    <w:rsid w:val="00207679"/>
    <w:rsid w:val="002109B9"/>
    <w:rsid w:val="00230DDD"/>
    <w:rsid w:val="002335C3"/>
    <w:rsid w:val="00240057"/>
    <w:rsid w:val="0024294A"/>
    <w:rsid w:val="00252249"/>
    <w:rsid w:val="00257643"/>
    <w:rsid w:val="00264F81"/>
    <w:rsid w:val="00273946"/>
    <w:rsid w:val="002755B8"/>
    <w:rsid w:val="002775EB"/>
    <w:rsid w:val="0028115F"/>
    <w:rsid w:val="002830E1"/>
    <w:rsid w:val="002A6111"/>
    <w:rsid w:val="002A6DB5"/>
    <w:rsid w:val="002B453A"/>
    <w:rsid w:val="002B5689"/>
    <w:rsid w:val="002C3355"/>
    <w:rsid w:val="002C55E3"/>
    <w:rsid w:val="002D4FF3"/>
    <w:rsid w:val="002D5B8F"/>
    <w:rsid w:val="002D7800"/>
    <w:rsid w:val="002E45D1"/>
    <w:rsid w:val="002E48AD"/>
    <w:rsid w:val="0031113D"/>
    <w:rsid w:val="00313CF1"/>
    <w:rsid w:val="00323718"/>
    <w:rsid w:val="0033067C"/>
    <w:rsid w:val="00340989"/>
    <w:rsid w:val="00341581"/>
    <w:rsid w:val="00347C70"/>
    <w:rsid w:val="003523DF"/>
    <w:rsid w:val="00355400"/>
    <w:rsid w:val="003557FA"/>
    <w:rsid w:val="0035663E"/>
    <w:rsid w:val="00360CCA"/>
    <w:rsid w:val="0037339D"/>
    <w:rsid w:val="00373F61"/>
    <w:rsid w:val="00381306"/>
    <w:rsid w:val="00383C07"/>
    <w:rsid w:val="003846BB"/>
    <w:rsid w:val="003871EE"/>
    <w:rsid w:val="003915AC"/>
    <w:rsid w:val="00391F48"/>
    <w:rsid w:val="00395098"/>
    <w:rsid w:val="00395AF2"/>
    <w:rsid w:val="003A2DCF"/>
    <w:rsid w:val="003A46C5"/>
    <w:rsid w:val="003A50F0"/>
    <w:rsid w:val="003B591E"/>
    <w:rsid w:val="003B61F8"/>
    <w:rsid w:val="003C1E9C"/>
    <w:rsid w:val="003C3158"/>
    <w:rsid w:val="003C5F17"/>
    <w:rsid w:val="003D477C"/>
    <w:rsid w:val="003D7813"/>
    <w:rsid w:val="003E059D"/>
    <w:rsid w:val="003E2D6F"/>
    <w:rsid w:val="003E333A"/>
    <w:rsid w:val="003E64D5"/>
    <w:rsid w:val="003F562B"/>
    <w:rsid w:val="00405941"/>
    <w:rsid w:val="0040669E"/>
    <w:rsid w:val="004136C0"/>
    <w:rsid w:val="00414AD1"/>
    <w:rsid w:val="00415A03"/>
    <w:rsid w:val="0041644D"/>
    <w:rsid w:val="004179E5"/>
    <w:rsid w:val="00426138"/>
    <w:rsid w:val="00432A46"/>
    <w:rsid w:val="004351CE"/>
    <w:rsid w:val="0043798C"/>
    <w:rsid w:val="00440B66"/>
    <w:rsid w:val="00443C9C"/>
    <w:rsid w:val="00444C45"/>
    <w:rsid w:val="0044599E"/>
    <w:rsid w:val="00445EB8"/>
    <w:rsid w:val="00446769"/>
    <w:rsid w:val="00451E55"/>
    <w:rsid w:val="004617BE"/>
    <w:rsid w:val="00461AF6"/>
    <w:rsid w:val="004774F3"/>
    <w:rsid w:val="0048717B"/>
    <w:rsid w:val="00491C30"/>
    <w:rsid w:val="004A0685"/>
    <w:rsid w:val="004B44E3"/>
    <w:rsid w:val="004B5544"/>
    <w:rsid w:val="004B5B46"/>
    <w:rsid w:val="004C2BF7"/>
    <w:rsid w:val="004C6A40"/>
    <w:rsid w:val="004D0C71"/>
    <w:rsid w:val="004D284F"/>
    <w:rsid w:val="004D49A3"/>
    <w:rsid w:val="004E0669"/>
    <w:rsid w:val="004E0B15"/>
    <w:rsid w:val="004E5028"/>
    <w:rsid w:val="004E5F38"/>
    <w:rsid w:val="004E67B8"/>
    <w:rsid w:val="004E74E6"/>
    <w:rsid w:val="004F00DC"/>
    <w:rsid w:val="004F0DFE"/>
    <w:rsid w:val="004F1305"/>
    <w:rsid w:val="004F13FF"/>
    <w:rsid w:val="004F1F52"/>
    <w:rsid w:val="004F5CC2"/>
    <w:rsid w:val="004F79A7"/>
    <w:rsid w:val="004F7F82"/>
    <w:rsid w:val="0050079D"/>
    <w:rsid w:val="00504468"/>
    <w:rsid w:val="00504EDD"/>
    <w:rsid w:val="0051126B"/>
    <w:rsid w:val="00513638"/>
    <w:rsid w:val="005147B5"/>
    <w:rsid w:val="005204BF"/>
    <w:rsid w:val="00530C73"/>
    <w:rsid w:val="00531645"/>
    <w:rsid w:val="005328A3"/>
    <w:rsid w:val="00540024"/>
    <w:rsid w:val="00540AAC"/>
    <w:rsid w:val="00551D72"/>
    <w:rsid w:val="00557437"/>
    <w:rsid w:val="00566E1E"/>
    <w:rsid w:val="005766C3"/>
    <w:rsid w:val="00581980"/>
    <w:rsid w:val="00583F71"/>
    <w:rsid w:val="005915E7"/>
    <w:rsid w:val="005920B4"/>
    <w:rsid w:val="005957F9"/>
    <w:rsid w:val="00597E1C"/>
    <w:rsid w:val="00597F6C"/>
    <w:rsid w:val="005A15DF"/>
    <w:rsid w:val="005A49CB"/>
    <w:rsid w:val="005B1B38"/>
    <w:rsid w:val="005B394F"/>
    <w:rsid w:val="005B3972"/>
    <w:rsid w:val="005B53EE"/>
    <w:rsid w:val="005B7709"/>
    <w:rsid w:val="005C5AD4"/>
    <w:rsid w:val="005C7FCA"/>
    <w:rsid w:val="005D39C6"/>
    <w:rsid w:val="005F410E"/>
    <w:rsid w:val="00606429"/>
    <w:rsid w:val="006145F1"/>
    <w:rsid w:val="0061657A"/>
    <w:rsid w:val="006261AC"/>
    <w:rsid w:val="006266C6"/>
    <w:rsid w:val="006325C5"/>
    <w:rsid w:val="00634043"/>
    <w:rsid w:val="006364C6"/>
    <w:rsid w:val="00650004"/>
    <w:rsid w:val="006540E0"/>
    <w:rsid w:val="00654152"/>
    <w:rsid w:val="00661249"/>
    <w:rsid w:val="00667FC5"/>
    <w:rsid w:val="006703EB"/>
    <w:rsid w:val="00674424"/>
    <w:rsid w:val="00677864"/>
    <w:rsid w:val="00677D61"/>
    <w:rsid w:val="00681EB2"/>
    <w:rsid w:val="00694C27"/>
    <w:rsid w:val="006A7354"/>
    <w:rsid w:val="006A770E"/>
    <w:rsid w:val="006B6F31"/>
    <w:rsid w:val="006C359F"/>
    <w:rsid w:val="006C3836"/>
    <w:rsid w:val="006C443A"/>
    <w:rsid w:val="006C5377"/>
    <w:rsid w:val="006D5D3F"/>
    <w:rsid w:val="006D5DCC"/>
    <w:rsid w:val="006E1C5C"/>
    <w:rsid w:val="006E6E54"/>
    <w:rsid w:val="006F055A"/>
    <w:rsid w:val="006F64C7"/>
    <w:rsid w:val="006F7067"/>
    <w:rsid w:val="0070029E"/>
    <w:rsid w:val="0070144E"/>
    <w:rsid w:val="0071116D"/>
    <w:rsid w:val="007222C4"/>
    <w:rsid w:val="00726233"/>
    <w:rsid w:val="007316A3"/>
    <w:rsid w:val="007326D0"/>
    <w:rsid w:val="007405D1"/>
    <w:rsid w:val="00740E25"/>
    <w:rsid w:val="00740F95"/>
    <w:rsid w:val="00743718"/>
    <w:rsid w:val="007464C1"/>
    <w:rsid w:val="0075612B"/>
    <w:rsid w:val="00757955"/>
    <w:rsid w:val="00761D23"/>
    <w:rsid w:val="007621B8"/>
    <w:rsid w:val="0076456D"/>
    <w:rsid w:val="007649E2"/>
    <w:rsid w:val="00772F1A"/>
    <w:rsid w:val="007827F4"/>
    <w:rsid w:val="0079019F"/>
    <w:rsid w:val="00794336"/>
    <w:rsid w:val="00797F44"/>
    <w:rsid w:val="007A4AD3"/>
    <w:rsid w:val="007B5CCA"/>
    <w:rsid w:val="007C2B1C"/>
    <w:rsid w:val="007C395F"/>
    <w:rsid w:val="007C7159"/>
    <w:rsid w:val="007D3C62"/>
    <w:rsid w:val="007E457F"/>
    <w:rsid w:val="007E5999"/>
    <w:rsid w:val="007E6734"/>
    <w:rsid w:val="007E77FC"/>
    <w:rsid w:val="007E7E73"/>
    <w:rsid w:val="007F2D09"/>
    <w:rsid w:val="00805C7F"/>
    <w:rsid w:val="0081782B"/>
    <w:rsid w:val="008224B6"/>
    <w:rsid w:val="0082443B"/>
    <w:rsid w:val="00824FA6"/>
    <w:rsid w:val="00827F2B"/>
    <w:rsid w:val="0083162A"/>
    <w:rsid w:val="00831B88"/>
    <w:rsid w:val="00831F25"/>
    <w:rsid w:val="00832481"/>
    <w:rsid w:val="008339C1"/>
    <w:rsid w:val="00835CC4"/>
    <w:rsid w:val="008376A2"/>
    <w:rsid w:val="00841428"/>
    <w:rsid w:val="0084742D"/>
    <w:rsid w:val="008547AA"/>
    <w:rsid w:val="008578C9"/>
    <w:rsid w:val="00860E40"/>
    <w:rsid w:val="0086264D"/>
    <w:rsid w:val="00866F52"/>
    <w:rsid w:val="008733A0"/>
    <w:rsid w:val="0087438B"/>
    <w:rsid w:val="00875DD5"/>
    <w:rsid w:val="008770F7"/>
    <w:rsid w:val="00883274"/>
    <w:rsid w:val="008925C2"/>
    <w:rsid w:val="008A2DF3"/>
    <w:rsid w:val="008B0E2B"/>
    <w:rsid w:val="008B7FD9"/>
    <w:rsid w:val="008C22C1"/>
    <w:rsid w:val="008C42A6"/>
    <w:rsid w:val="008C50D0"/>
    <w:rsid w:val="008C6991"/>
    <w:rsid w:val="008D292A"/>
    <w:rsid w:val="008D7FEF"/>
    <w:rsid w:val="008E12A4"/>
    <w:rsid w:val="008E421D"/>
    <w:rsid w:val="008E7029"/>
    <w:rsid w:val="008E725F"/>
    <w:rsid w:val="008F0F07"/>
    <w:rsid w:val="008F1569"/>
    <w:rsid w:val="008F1BA6"/>
    <w:rsid w:val="008F4F9D"/>
    <w:rsid w:val="00900B00"/>
    <w:rsid w:val="00904E0A"/>
    <w:rsid w:val="00921D00"/>
    <w:rsid w:val="00924ECD"/>
    <w:rsid w:val="00925CCC"/>
    <w:rsid w:val="00926C81"/>
    <w:rsid w:val="00931992"/>
    <w:rsid w:val="00934181"/>
    <w:rsid w:val="00945A38"/>
    <w:rsid w:val="009518A8"/>
    <w:rsid w:val="009609DE"/>
    <w:rsid w:val="00961C68"/>
    <w:rsid w:val="00961E58"/>
    <w:rsid w:val="00964329"/>
    <w:rsid w:val="009707A7"/>
    <w:rsid w:val="0097184C"/>
    <w:rsid w:val="00972A8B"/>
    <w:rsid w:val="009829EB"/>
    <w:rsid w:val="00984FA2"/>
    <w:rsid w:val="00991936"/>
    <w:rsid w:val="009924BA"/>
    <w:rsid w:val="009A44D4"/>
    <w:rsid w:val="009A4D5E"/>
    <w:rsid w:val="009A5A23"/>
    <w:rsid w:val="009A68B9"/>
    <w:rsid w:val="009B7D6C"/>
    <w:rsid w:val="009C3253"/>
    <w:rsid w:val="009C4949"/>
    <w:rsid w:val="009E305C"/>
    <w:rsid w:val="009E7801"/>
    <w:rsid w:val="009F1CC8"/>
    <w:rsid w:val="009F2BB7"/>
    <w:rsid w:val="009F5B39"/>
    <w:rsid w:val="009F6CC7"/>
    <w:rsid w:val="009F72BC"/>
    <w:rsid w:val="009F7888"/>
    <w:rsid w:val="00A01CB2"/>
    <w:rsid w:val="00A04AF7"/>
    <w:rsid w:val="00A16493"/>
    <w:rsid w:val="00A33164"/>
    <w:rsid w:val="00A33B2D"/>
    <w:rsid w:val="00A352C9"/>
    <w:rsid w:val="00A37153"/>
    <w:rsid w:val="00A37637"/>
    <w:rsid w:val="00A43641"/>
    <w:rsid w:val="00A46407"/>
    <w:rsid w:val="00A5657B"/>
    <w:rsid w:val="00A60F7E"/>
    <w:rsid w:val="00A811E3"/>
    <w:rsid w:val="00A8123D"/>
    <w:rsid w:val="00A855CF"/>
    <w:rsid w:val="00A90B65"/>
    <w:rsid w:val="00A96F79"/>
    <w:rsid w:val="00AA035C"/>
    <w:rsid w:val="00AA3A0A"/>
    <w:rsid w:val="00AA6B55"/>
    <w:rsid w:val="00AB04AA"/>
    <w:rsid w:val="00AB4DB2"/>
    <w:rsid w:val="00AC11D3"/>
    <w:rsid w:val="00AC25FB"/>
    <w:rsid w:val="00AC7440"/>
    <w:rsid w:val="00AD1A81"/>
    <w:rsid w:val="00AE06B7"/>
    <w:rsid w:val="00AE120F"/>
    <w:rsid w:val="00AE2186"/>
    <w:rsid w:val="00AE6BEA"/>
    <w:rsid w:val="00AF195A"/>
    <w:rsid w:val="00AF1BEC"/>
    <w:rsid w:val="00AF31D1"/>
    <w:rsid w:val="00B10B08"/>
    <w:rsid w:val="00B122E9"/>
    <w:rsid w:val="00B2375C"/>
    <w:rsid w:val="00B23DDA"/>
    <w:rsid w:val="00B3186D"/>
    <w:rsid w:val="00B34B8E"/>
    <w:rsid w:val="00B36A10"/>
    <w:rsid w:val="00B40B59"/>
    <w:rsid w:val="00B43E57"/>
    <w:rsid w:val="00B458E7"/>
    <w:rsid w:val="00B47E93"/>
    <w:rsid w:val="00B50C2F"/>
    <w:rsid w:val="00B53A29"/>
    <w:rsid w:val="00B55DB4"/>
    <w:rsid w:val="00B65A13"/>
    <w:rsid w:val="00B66DA7"/>
    <w:rsid w:val="00B72ADC"/>
    <w:rsid w:val="00B81DAB"/>
    <w:rsid w:val="00B8361D"/>
    <w:rsid w:val="00B839E2"/>
    <w:rsid w:val="00B84859"/>
    <w:rsid w:val="00B9545B"/>
    <w:rsid w:val="00B95D08"/>
    <w:rsid w:val="00B95FC0"/>
    <w:rsid w:val="00BA7F39"/>
    <w:rsid w:val="00BB389D"/>
    <w:rsid w:val="00BB4F65"/>
    <w:rsid w:val="00BC2E3B"/>
    <w:rsid w:val="00BC6E54"/>
    <w:rsid w:val="00BD394B"/>
    <w:rsid w:val="00BE0787"/>
    <w:rsid w:val="00BE2F4B"/>
    <w:rsid w:val="00BF16BA"/>
    <w:rsid w:val="00BF51E1"/>
    <w:rsid w:val="00C042DC"/>
    <w:rsid w:val="00C11FFE"/>
    <w:rsid w:val="00C13136"/>
    <w:rsid w:val="00C21224"/>
    <w:rsid w:val="00C316D4"/>
    <w:rsid w:val="00C462ED"/>
    <w:rsid w:val="00C53453"/>
    <w:rsid w:val="00C603A6"/>
    <w:rsid w:val="00C60996"/>
    <w:rsid w:val="00C618B9"/>
    <w:rsid w:val="00C64112"/>
    <w:rsid w:val="00C64883"/>
    <w:rsid w:val="00C74296"/>
    <w:rsid w:val="00C76778"/>
    <w:rsid w:val="00C76FE5"/>
    <w:rsid w:val="00C85366"/>
    <w:rsid w:val="00C903AA"/>
    <w:rsid w:val="00C90A70"/>
    <w:rsid w:val="00C91BAC"/>
    <w:rsid w:val="00C935C0"/>
    <w:rsid w:val="00C951DB"/>
    <w:rsid w:val="00CB1752"/>
    <w:rsid w:val="00CB211E"/>
    <w:rsid w:val="00CC416C"/>
    <w:rsid w:val="00CC5772"/>
    <w:rsid w:val="00CD1DDD"/>
    <w:rsid w:val="00CD3A68"/>
    <w:rsid w:val="00CD455F"/>
    <w:rsid w:val="00CD629E"/>
    <w:rsid w:val="00CD630C"/>
    <w:rsid w:val="00CE03CA"/>
    <w:rsid w:val="00CE0504"/>
    <w:rsid w:val="00CE14CB"/>
    <w:rsid w:val="00CE2048"/>
    <w:rsid w:val="00CE2820"/>
    <w:rsid w:val="00CF0517"/>
    <w:rsid w:val="00CF6E94"/>
    <w:rsid w:val="00CF7505"/>
    <w:rsid w:val="00CF77B7"/>
    <w:rsid w:val="00D01977"/>
    <w:rsid w:val="00D01B67"/>
    <w:rsid w:val="00D12532"/>
    <w:rsid w:val="00D13FD3"/>
    <w:rsid w:val="00D142EC"/>
    <w:rsid w:val="00D22457"/>
    <w:rsid w:val="00D307F1"/>
    <w:rsid w:val="00D31911"/>
    <w:rsid w:val="00D32526"/>
    <w:rsid w:val="00D36ABC"/>
    <w:rsid w:val="00D44AE4"/>
    <w:rsid w:val="00D53C30"/>
    <w:rsid w:val="00D5657B"/>
    <w:rsid w:val="00D65E15"/>
    <w:rsid w:val="00D7472D"/>
    <w:rsid w:val="00D75AF5"/>
    <w:rsid w:val="00D77F4A"/>
    <w:rsid w:val="00D77F80"/>
    <w:rsid w:val="00D80EA7"/>
    <w:rsid w:val="00D81B8B"/>
    <w:rsid w:val="00D83C42"/>
    <w:rsid w:val="00D86D52"/>
    <w:rsid w:val="00D90428"/>
    <w:rsid w:val="00D91474"/>
    <w:rsid w:val="00D92C5C"/>
    <w:rsid w:val="00D954ED"/>
    <w:rsid w:val="00DA7F80"/>
    <w:rsid w:val="00DB3499"/>
    <w:rsid w:val="00DB45C3"/>
    <w:rsid w:val="00DB5F65"/>
    <w:rsid w:val="00DC025D"/>
    <w:rsid w:val="00DC05A8"/>
    <w:rsid w:val="00DD388D"/>
    <w:rsid w:val="00E00645"/>
    <w:rsid w:val="00E02868"/>
    <w:rsid w:val="00E07CA8"/>
    <w:rsid w:val="00E25586"/>
    <w:rsid w:val="00E32AE7"/>
    <w:rsid w:val="00E33F9D"/>
    <w:rsid w:val="00E425B8"/>
    <w:rsid w:val="00E5201D"/>
    <w:rsid w:val="00E65D29"/>
    <w:rsid w:val="00E66BC4"/>
    <w:rsid w:val="00E76AFE"/>
    <w:rsid w:val="00E84AFC"/>
    <w:rsid w:val="00E8612C"/>
    <w:rsid w:val="00E86EDA"/>
    <w:rsid w:val="00E8754D"/>
    <w:rsid w:val="00E9307B"/>
    <w:rsid w:val="00EA07C1"/>
    <w:rsid w:val="00EA3335"/>
    <w:rsid w:val="00EA37B4"/>
    <w:rsid w:val="00EB0CEC"/>
    <w:rsid w:val="00EB4121"/>
    <w:rsid w:val="00EB6EB1"/>
    <w:rsid w:val="00EF2938"/>
    <w:rsid w:val="00F05828"/>
    <w:rsid w:val="00F11EFB"/>
    <w:rsid w:val="00F13D8E"/>
    <w:rsid w:val="00F160D8"/>
    <w:rsid w:val="00F17A01"/>
    <w:rsid w:val="00F24BB9"/>
    <w:rsid w:val="00F2516E"/>
    <w:rsid w:val="00F25A93"/>
    <w:rsid w:val="00F26989"/>
    <w:rsid w:val="00F26C87"/>
    <w:rsid w:val="00F30856"/>
    <w:rsid w:val="00F333E7"/>
    <w:rsid w:val="00F338E8"/>
    <w:rsid w:val="00F36F81"/>
    <w:rsid w:val="00F42AA1"/>
    <w:rsid w:val="00F52A42"/>
    <w:rsid w:val="00F5406B"/>
    <w:rsid w:val="00F5524A"/>
    <w:rsid w:val="00F556EE"/>
    <w:rsid w:val="00F5772F"/>
    <w:rsid w:val="00F606D6"/>
    <w:rsid w:val="00F6121E"/>
    <w:rsid w:val="00F642E8"/>
    <w:rsid w:val="00F6699D"/>
    <w:rsid w:val="00F7017D"/>
    <w:rsid w:val="00F702FE"/>
    <w:rsid w:val="00F77C59"/>
    <w:rsid w:val="00F801A1"/>
    <w:rsid w:val="00F82813"/>
    <w:rsid w:val="00F90F66"/>
    <w:rsid w:val="00F936BC"/>
    <w:rsid w:val="00F939E7"/>
    <w:rsid w:val="00F9603D"/>
    <w:rsid w:val="00F96936"/>
    <w:rsid w:val="00FA235F"/>
    <w:rsid w:val="00FA7943"/>
    <w:rsid w:val="00FB1E52"/>
    <w:rsid w:val="00FB33B4"/>
    <w:rsid w:val="00FC0635"/>
    <w:rsid w:val="00FD076A"/>
    <w:rsid w:val="00FD2581"/>
    <w:rsid w:val="00FD27FE"/>
    <w:rsid w:val="00FD2BEF"/>
    <w:rsid w:val="00FE0139"/>
    <w:rsid w:val="00FE3241"/>
    <w:rsid w:val="00FE3BA8"/>
    <w:rsid w:val="00FE5E7B"/>
    <w:rsid w:val="00FF0A62"/>
    <w:rsid w:val="00FF39E7"/>
    <w:rsid w:val="00FF3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docId w15:val="{17B910ED-7216-4564-B06C-060436D3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Arial"/>
        <w:color w:val="AB054C" w:themeColor="hyperlink"/>
        <w:kern w:val="20"/>
        <w:sz w:val="22"/>
        <w:u w:val="single"/>
        <w:lang w:val="en-US" w:eastAsia="ja-JP"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17A"/>
    <w:rPr>
      <w:rFonts w:ascii="Arial" w:hAnsi="Arial"/>
      <w:color w:val="auto"/>
      <w:u w:val="none"/>
    </w:rPr>
  </w:style>
  <w:style w:type="paragraph" w:styleId="Heading1">
    <w:name w:val="heading 1"/>
    <w:basedOn w:val="HeaderShaded"/>
    <w:next w:val="Normal"/>
    <w:link w:val="Heading1Char"/>
    <w:uiPriority w:val="1"/>
    <w:qFormat/>
    <w:rsid w:val="00043C2B"/>
    <w:pPr>
      <w:pBdr>
        <w:top w:val="single" w:sz="2" w:space="2" w:color="8A002E"/>
        <w:left w:val="single" w:sz="2" w:space="6" w:color="8A002E"/>
        <w:bottom w:val="single" w:sz="2" w:space="2" w:color="8A002E"/>
        <w:right w:val="single" w:sz="2" w:space="6" w:color="8A002E"/>
      </w:pBdr>
      <w:shd w:val="clear" w:color="auto" w:fill="AB054C"/>
      <w:spacing w:before="240" w:after="240"/>
      <w:outlineLvl w:val="0"/>
    </w:pPr>
    <w:rPr>
      <w:rFonts w:ascii="Arial" w:eastAsia="Times New Roman" w:hAnsi="Arial"/>
      <w:caps w:val="0"/>
    </w:rPr>
  </w:style>
  <w:style w:type="paragraph" w:styleId="Heading2">
    <w:name w:val="heading 2"/>
    <w:basedOn w:val="Normal"/>
    <w:next w:val="Normal"/>
    <w:link w:val="Heading2Char"/>
    <w:autoRedefine/>
    <w:uiPriority w:val="1"/>
    <w:unhideWhenUsed/>
    <w:qFormat/>
    <w:rsid w:val="00C60996"/>
    <w:pPr>
      <w:keepNext/>
      <w:keepLines/>
      <w:spacing w:before="0" w:after="0" w:line="360" w:lineRule="auto"/>
      <w:outlineLvl w:val="1"/>
    </w:pPr>
    <w:rPr>
      <w:rFonts w:ascii="Arial Bold" w:eastAsia="Times New Roman" w:hAnsi="Arial Bold"/>
      <w:b/>
      <w:i/>
      <w:color w:val="AB054C"/>
      <w:sz w:val="36"/>
      <w14:ligatures w14:val="standardContextual"/>
    </w:rPr>
  </w:style>
  <w:style w:type="paragraph" w:styleId="Heading3">
    <w:name w:val="heading 3"/>
    <w:basedOn w:val="Normal"/>
    <w:next w:val="Normal"/>
    <w:link w:val="Heading3Char"/>
    <w:autoRedefine/>
    <w:uiPriority w:val="1"/>
    <w:unhideWhenUsed/>
    <w:qFormat/>
    <w:rsid w:val="00B81DAB"/>
    <w:pPr>
      <w:keepNext/>
      <w:keepLines/>
      <w:spacing w:before="240" w:line="360" w:lineRule="auto"/>
      <w:outlineLvl w:val="2"/>
    </w:pPr>
    <w:rPr>
      <w:rFonts w:ascii="Arial Bold" w:eastAsia="Calibri" w:hAnsi="Arial Bold"/>
      <w:b/>
      <w:bCs/>
      <w:sz w:val="28"/>
      <w14:ligatures w14:val="standardContextual"/>
    </w:rPr>
  </w:style>
  <w:style w:type="paragraph" w:styleId="Heading4">
    <w:name w:val="heading 4"/>
    <w:basedOn w:val="Normal"/>
    <w:next w:val="Normal"/>
    <w:link w:val="Heading4Char"/>
    <w:uiPriority w:val="18"/>
    <w:unhideWhenUsed/>
    <w:qFormat/>
    <w:rsid w:val="00043C2B"/>
    <w:pPr>
      <w:keepNext/>
      <w:keepLines/>
      <w:shd w:val="clear" w:color="auto" w:fill="AB054C"/>
      <w:spacing w:before="0" w:after="0"/>
      <w:outlineLvl w:val="3"/>
    </w:pPr>
    <w:rPr>
      <w:rFonts w:asciiTheme="minorHAnsi" w:eastAsiaTheme="majorEastAsia" w:hAnsiTheme="minorHAnsi" w:cstheme="majorBidi"/>
      <w:bCs/>
      <w:iCs/>
      <w:color w:val="FFFFFF" w:themeColor="background1"/>
      <w:sz w:val="36"/>
    </w:rPr>
  </w:style>
  <w:style w:type="paragraph" w:styleId="Heading5">
    <w:name w:val="heading 5"/>
    <w:basedOn w:val="Normal"/>
    <w:next w:val="Normal"/>
    <w:link w:val="Heading5Char"/>
    <w:uiPriority w:val="1"/>
    <w:unhideWhenUsed/>
    <w:qFormat/>
    <w:pPr>
      <w:keepNext/>
      <w:keepLines/>
      <w:spacing w:before="200" w:after="0"/>
      <w:outlineLvl w:val="4"/>
    </w:pPr>
    <w:rPr>
      <w:rFonts w:asciiTheme="majorHAnsi" w:eastAsiaTheme="majorEastAsia" w:hAnsiTheme="majorHAnsi" w:cstheme="majorBidi"/>
      <w:color w:val="440016"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440016"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FFFFFF"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FFFFFF"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FFFFFF"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FF1F6A" w:themeColor="accent1" w:themeTint="99"/>
        <w:left w:val="single" w:sz="2" w:space="4" w:color="FFFFFF" w:themeColor="background1"/>
      </w:pBdr>
      <w:spacing w:after="0"/>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pPr>
  </w:style>
  <w:style w:type="paragraph" w:styleId="BalloonText">
    <w:name w:val="Balloon Text"/>
    <w:basedOn w:val="Normal"/>
    <w:link w:val="BalloonTextChar"/>
    <w:uiPriority w:val="99"/>
    <w:semiHidden/>
    <w:unhideWhenUsed/>
    <w:pPr>
      <w:spacing w:after="0"/>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043C2B"/>
    <w:rPr>
      <w:rFonts w:ascii="Arial" w:eastAsia="Times New Roman" w:hAnsi="Arial" w:cstheme="majorBidi"/>
      <w:color w:val="FFFFFF" w:themeColor="background1"/>
      <w:sz w:val="48"/>
      <w:u w:val="none"/>
      <w:shd w:val="clear" w:color="auto" w:fill="AB054C"/>
    </w:rPr>
  </w:style>
  <w:style w:type="character" w:customStyle="1" w:styleId="Heading2Char">
    <w:name w:val="Heading 2 Char"/>
    <w:basedOn w:val="DefaultParagraphFont"/>
    <w:link w:val="Heading2"/>
    <w:uiPriority w:val="1"/>
    <w:rsid w:val="00C60996"/>
    <w:rPr>
      <w:rFonts w:ascii="Arial Bold" w:eastAsia="Times New Roman" w:hAnsi="Arial Bold"/>
      <w:b/>
      <w:i/>
      <w:color w:val="AB054C"/>
      <w:sz w:val="36"/>
      <w:u w:val="none"/>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8A002E" w:themeColor="accent1"/>
      <w:sz w:val="28"/>
    </w:rPr>
  </w:style>
  <w:style w:type="character" w:customStyle="1" w:styleId="QuoteChar">
    <w:name w:val="Quote Char"/>
    <w:basedOn w:val="DefaultParagraphFont"/>
    <w:link w:val="Quote"/>
    <w:uiPriority w:val="9"/>
    <w:rPr>
      <w:i/>
      <w:iCs/>
      <w:color w:val="8A002E"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8A002E" w:themeColor="accent1" w:frame="1"/>
        <w:left w:val="single" w:sz="2" w:space="10" w:color="8A002E" w:themeColor="accent1" w:frame="1"/>
        <w:bottom w:val="single" w:sz="2" w:space="10" w:color="8A002E" w:themeColor="accent1" w:frame="1"/>
        <w:right w:val="single" w:sz="2" w:space="10" w:color="8A002E" w:themeColor="accent1" w:frame="1"/>
      </w:pBdr>
      <w:ind w:left="1152" w:right="1152"/>
    </w:pPr>
    <w:rPr>
      <w:i/>
      <w:iCs/>
      <w:color w:val="8A002E" w:themeColor="accent1"/>
    </w:rPr>
  </w:style>
  <w:style w:type="paragraph" w:styleId="BodyText">
    <w:name w:val="Body Text"/>
    <w:basedOn w:val="Normal"/>
    <w:link w:val="BodyTextChar"/>
    <w:uiPriority w:val="1"/>
    <w:unhideWhenUsed/>
    <w:qFormat/>
    <w:rsid w:val="00D31911"/>
  </w:style>
  <w:style w:type="character" w:customStyle="1" w:styleId="BodyTextChar">
    <w:name w:val="Body Text Char"/>
    <w:basedOn w:val="DefaultParagraphFont"/>
    <w:link w:val="BodyText"/>
    <w:uiPriority w:val="1"/>
    <w:rsid w:val="00D31911"/>
    <w:rPr>
      <w:rFonts w:ascii="Arial" w:hAnsi="Arial"/>
      <w:color w:val="auto"/>
      <w:u w:val="none"/>
    </w:rPr>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rPr>
      <w:rFonts w:ascii="Times New Roman" w:hAnsi="Times New Roman"/>
      <w:color w:val="auto"/>
      <w:sz w:val="22"/>
      <w:u w:val="none"/>
    </w:rPr>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Pr>
      <w:b/>
      <w:bCs/>
      <w:color w:val="8A002E" w:themeColor="accent1"/>
      <w:sz w:val="18"/>
    </w:rPr>
  </w:style>
  <w:style w:type="paragraph" w:styleId="Closing">
    <w:name w:val="Closing"/>
    <w:basedOn w:val="Normal"/>
    <w:link w:val="ClosingChar"/>
    <w:uiPriority w:val="99"/>
    <w:semiHidden/>
    <w:unhideWhenUsed/>
    <w:pPr>
      <w:spacing w:after="0"/>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FFFFF" w:themeFill="text1" w:themeFillTint="33"/>
    </w:tcPr>
    <w:tblStylePr w:type="firstRow">
      <w:rPr>
        <w:b/>
        <w:bCs/>
      </w:rPr>
      <w:tblPr/>
      <w:tcPr>
        <w:shd w:val="clear" w:color="auto" w:fill="FFFFFF" w:themeFill="text1" w:themeFillTint="66"/>
      </w:tcPr>
    </w:tblStylePr>
    <w:tblStylePr w:type="lastRow">
      <w:rPr>
        <w:b/>
        <w:bCs/>
        <w:color w:val="FFFFFF" w:themeColor="text1"/>
      </w:rPr>
      <w:tblPr/>
      <w:tcPr>
        <w:shd w:val="clear" w:color="auto" w:fill="FFFFFF" w:themeFill="text1" w:themeFillTint="66"/>
      </w:tcPr>
    </w:tblStylePr>
    <w:tblStylePr w:type="firstCol">
      <w:rPr>
        <w:color w:val="FFFFFF" w:themeColor="background1"/>
      </w:rPr>
      <w:tblPr/>
      <w:tcPr>
        <w:shd w:val="clear" w:color="auto" w:fill="BFBFBF" w:themeFill="text1" w:themeFillShade="BF"/>
      </w:tcPr>
    </w:tblStylePr>
    <w:tblStylePr w:type="lastCol">
      <w:rPr>
        <w:color w:val="FFFFFF" w:themeColor="background1"/>
      </w:rPr>
      <w:tblPr/>
      <w:tcPr>
        <w:shd w:val="clear" w:color="auto" w:fill="BFBFBF" w:themeFill="text1" w:themeFillShade="BF"/>
      </w:tc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ColorfulGrid-Accent1">
    <w:name w:val="Colorful Grid Accent 1"/>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FB4CD" w:themeFill="accent1" w:themeFillTint="33"/>
    </w:tcPr>
    <w:tblStylePr w:type="firstRow">
      <w:rPr>
        <w:b/>
        <w:bCs/>
      </w:rPr>
      <w:tblPr/>
      <w:tcPr>
        <w:shd w:val="clear" w:color="auto" w:fill="FF6A9B" w:themeFill="accent1" w:themeFillTint="66"/>
      </w:tcPr>
    </w:tblStylePr>
    <w:tblStylePr w:type="lastRow">
      <w:rPr>
        <w:b/>
        <w:bCs/>
        <w:color w:val="FFFFFF" w:themeColor="text1"/>
      </w:rPr>
      <w:tblPr/>
      <w:tcPr>
        <w:shd w:val="clear" w:color="auto" w:fill="FF6A9B" w:themeFill="accent1" w:themeFillTint="66"/>
      </w:tcPr>
    </w:tblStylePr>
    <w:tblStylePr w:type="firstCol">
      <w:rPr>
        <w:color w:val="FFFFFF" w:themeColor="background1"/>
      </w:rPr>
      <w:tblPr/>
      <w:tcPr>
        <w:shd w:val="clear" w:color="auto" w:fill="670022" w:themeFill="accent1" w:themeFillShade="BF"/>
      </w:tcPr>
    </w:tblStylePr>
    <w:tblStylePr w:type="lastCol">
      <w:rPr>
        <w:color w:val="FFFFFF" w:themeColor="background1"/>
      </w:rPr>
      <w:tblPr/>
      <w:tcPr>
        <w:shd w:val="clear" w:color="auto" w:fill="670022" w:themeFill="accent1" w:themeFillShade="BF"/>
      </w:tcPr>
    </w:tblStylePr>
    <w:tblStylePr w:type="band1Vert">
      <w:tblPr/>
      <w:tcPr>
        <w:shd w:val="clear" w:color="auto" w:fill="FF4583" w:themeFill="accent1" w:themeFillTint="7F"/>
      </w:tcPr>
    </w:tblStylePr>
    <w:tblStylePr w:type="band1Horz">
      <w:tblPr/>
      <w:tcPr>
        <w:shd w:val="clear" w:color="auto" w:fill="FF4583" w:themeFill="accent1" w:themeFillTint="7F"/>
      </w:tcPr>
    </w:tblStylePr>
  </w:style>
  <w:style w:type="table" w:styleId="ColorfulGrid-Accent2">
    <w:name w:val="Colorful Grid Accent 2"/>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DB9D6" w:themeFill="accent2" w:themeFillTint="33"/>
    </w:tcPr>
    <w:tblStylePr w:type="firstRow">
      <w:rPr>
        <w:b/>
        <w:bCs/>
      </w:rPr>
      <w:tblPr/>
      <w:tcPr>
        <w:shd w:val="clear" w:color="auto" w:fill="FB74AE" w:themeFill="accent2" w:themeFillTint="66"/>
      </w:tcPr>
    </w:tblStylePr>
    <w:tblStylePr w:type="lastRow">
      <w:rPr>
        <w:b/>
        <w:bCs/>
        <w:color w:val="FFFFFF" w:themeColor="text1"/>
      </w:rPr>
      <w:tblPr/>
      <w:tcPr>
        <w:shd w:val="clear" w:color="auto" w:fill="FB74AE" w:themeFill="accent2" w:themeFillTint="66"/>
      </w:tcPr>
    </w:tblStylePr>
    <w:tblStylePr w:type="firstCol">
      <w:rPr>
        <w:color w:val="FFFFFF" w:themeColor="background1"/>
      </w:rPr>
      <w:tblPr/>
      <w:tcPr>
        <w:shd w:val="clear" w:color="auto" w:fill="700332" w:themeFill="accent2" w:themeFillShade="BF"/>
      </w:tcPr>
    </w:tblStylePr>
    <w:tblStylePr w:type="lastCol">
      <w:rPr>
        <w:color w:val="FFFFFF" w:themeColor="background1"/>
      </w:rPr>
      <w:tblPr/>
      <w:tcPr>
        <w:shd w:val="clear" w:color="auto" w:fill="700332" w:themeFill="accent2" w:themeFillShade="BF"/>
      </w:tcPr>
    </w:tblStylePr>
    <w:tblStylePr w:type="band1Vert">
      <w:tblPr/>
      <w:tcPr>
        <w:shd w:val="clear" w:color="auto" w:fill="FA529A" w:themeFill="accent2" w:themeFillTint="7F"/>
      </w:tcPr>
    </w:tblStylePr>
    <w:tblStylePr w:type="band1Horz">
      <w:tblPr/>
      <w:tcPr>
        <w:shd w:val="clear" w:color="auto" w:fill="FA529A" w:themeFill="accent2" w:themeFillTint="7F"/>
      </w:tcPr>
    </w:tblStylePr>
  </w:style>
  <w:style w:type="table" w:styleId="ColorfulGrid-Accent3">
    <w:name w:val="Colorful Grid Accent 3"/>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DBDD8" w:themeFill="accent3" w:themeFillTint="33"/>
    </w:tcPr>
    <w:tblStylePr w:type="firstRow">
      <w:rPr>
        <w:b/>
        <w:bCs/>
      </w:rPr>
      <w:tblPr/>
      <w:tcPr>
        <w:shd w:val="clear" w:color="auto" w:fill="FB7DB3" w:themeFill="accent3" w:themeFillTint="66"/>
      </w:tcPr>
    </w:tblStylePr>
    <w:tblStylePr w:type="lastRow">
      <w:rPr>
        <w:b/>
        <w:bCs/>
        <w:color w:val="FFFFFF" w:themeColor="text1"/>
      </w:rPr>
      <w:tblPr/>
      <w:tcPr>
        <w:shd w:val="clear" w:color="auto" w:fill="FB7DB3" w:themeFill="accent3" w:themeFillTint="66"/>
      </w:tcPr>
    </w:tblStylePr>
    <w:tblStylePr w:type="firstCol">
      <w:rPr>
        <w:color w:val="FFFFFF" w:themeColor="background1"/>
      </w:rPr>
      <w:tblPr/>
      <w:tcPr>
        <w:shd w:val="clear" w:color="auto" w:fill="7F0338" w:themeFill="accent3" w:themeFillShade="BF"/>
      </w:tcPr>
    </w:tblStylePr>
    <w:tblStylePr w:type="lastCol">
      <w:rPr>
        <w:color w:val="FFFFFF" w:themeColor="background1"/>
      </w:rPr>
      <w:tblPr/>
      <w:tcPr>
        <w:shd w:val="clear" w:color="auto" w:fill="7F0338" w:themeFill="accent3" w:themeFillShade="BF"/>
      </w:tcPr>
    </w:tblStylePr>
    <w:tblStylePr w:type="band1Vert">
      <w:tblPr/>
      <w:tcPr>
        <w:shd w:val="clear" w:color="auto" w:fill="FA5DA0" w:themeFill="accent3" w:themeFillTint="7F"/>
      </w:tcPr>
    </w:tblStylePr>
    <w:tblStylePr w:type="band1Horz">
      <w:tblPr/>
      <w:tcPr>
        <w:shd w:val="clear" w:color="auto" w:fill="FA5DA0" w:themeFill="accent3" w:themeFillTint="7F"/>
      </w:tcPr>
    </w:tblStylePr>
  </w:style>
  <w:style w:type="table" w:styleId="ColorfulGrid-Accent4">
    <w:name w:val="Colorful Grid Accent 4"/>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FFAFA" w:themeFill="accent4" w:themeFillTint="33"/>
    </w:tcPr>
    <w:tblStylePr w:type="firstRow">
      <w:rPr>
        <w:b/>
        <w:bCs/>
      </w:rPr>
      <w:tblPr/>
      <w:tcPr>
        <w:shd w:val="clear" w:color="auto" w:fill="FFF5F5" w:themeFill="accent4" w:themeFillTint="66"/>
      </w:tcPr>
    </w:tblStylePr>
    <w:tblStylePr w:type="lastRow">
      <w:rPr>
        <w:b/>
        <w:bCs/>
        <w:color w:val="FFFFFF" w:themeColor="text1"/>
      </w:rPr>
      <w:tblPr/>
      <w:tcPr>
        <w:shd w:val="clear" w:color="auto" w:fill="FFF5F5" w:themeFill="accent4" w:themeFillTint="66"/>
      </w:tcPr>
    </w:tblStylePr>
    <w:tblStylePr w:type="firstCol">
      <w:rPr>
        <w:color w:val="FFFFFF" w:themeColor="background1"/>
      </w:rPr>
      <w:tblPr/>
      <w:tcPr>
        <w:shd w:val="clear" w:color="auto" w:fill="FF6D6D" w:themeFill="accent4" w:themeFillShade="BF"/>
      </w:tcPr>
    </w:tblStylePr>
    <w:tblStylePr w:type="lastCol">
      <w:rPr>
        <w:color w:val="FFFFFF" w:themeColor="background1"/>
      </w:rPr>
      <w:tblPr/>
      <w:tcPr>
        <w:shd w:val="clear" w:color="auto" w:fill="FF6D6D" w:themeFill="accent4" w:themeFillShade="BF"/>
      </w:tcPr>
    </w:tblStylePr>
    <w:tblStylePr w:type="band1Vert">
      <w:tblPr/>
      <w:tcPr>
        <w:shd w:val="clear" w:color="auto" w:fill="FFF3F3" w:themeFill="accent4" w:themeFillTint="7F"/>
      </w:tcPr>
    </w:tblStylePr>
    <w:tblStylePr w:type="band1Horz">
      <w:tblPr/>
      <w:tcPr>
        <w:shd w:val="clear" w:color="auto" w:fill="FFF3F3" w:themeFill="accent4" w:themeFillTint="7F"/>
      </w:tcPr>
    </w:tblStylePr>
  </w:style>
  <w:style w:type="table" w:styleId="ColorfulGrid-Accent5">
    <w:name w:val="Colorful Grid Accent 5"/>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EF7F8" w:themeFill="accent5" w:themeFillTint="33"/>
    </w:tcPr>
    <w:tblStylePr w:type="firstRow">
      <w:rPr>
        <w:b/>
        <w:bCs/>
      </w:rPr>
      <w:tblPr/>
      <w:tcPr>
        <w:shd w:val="clear" w:color="auto" w:fill="FEF0F1" w:themeFill="accent5" w:themeFillTint="66"/>
      </w:tcPr>
    </w:tblStylePr>
    <w:tblStylePr w:type="lastRow">
      <w:rPr>
        <w:b/>
        <w:bCs/>
        <w:color w:val="FFFFFF" w:themeColor="text1"/>
      </w:rPr>
      <w:tblPr/>
      <w:tcPr>
        <w:shd w:val="clear" w:color="auto" w:fill="FEF0F1" w:themeFill="accent5" w:themeFillTint="66"/>
      </w:tcPr>
    </w:tblStylePr>
    <w:tblStylePr w:type="firstCol">
      <w:rPr>
        <w:color w:val="FFFFFF" w:themeColor="background1"/>
      </w:rPr>
      <w:tblPr/>
      <w:tcPr>
        <w:shd w:val="clear" w:color="auto" w:fill="FB6672" w:themeFill="accent5" w:themeFillShade="BF"/>
      </w:tcPr>
    </w:tblStylePr>
    <w:tblStylePr w:type="lastCol">
      <w:rPr>
        <w:color w:val="FFFFFF" w:themeColor="background1"/>
      </w:rPr>
      <w:tblPr/>
      <w:tcPr>
        <w:shd w:val="clear" w:color="auto" w:fill="FB6672" w:themeFill="accent5" w:themeFillShade="BF"/>
      </w:tcPr>
    </w:tblStylePr>
    <w:tblStylePr w:type="band1Vert">
      <w:tblPr/>
      <w:tcPr>
        <w:shd w:val="clear" w:color="auto" w:fill="FEECED" w:themeFill="accent5" w:themeFillTint="7F"/>
      </w:tcPr>
    </w:tblStylePr>
    <w:tblStylePr w:type="band1Horz">
      <w:tblPr/>
      <w:tcPr>
        <w:shd w:val="clear" w:color="auto" w:fill="FEECED" w:themeFill="accent5" w:themeFillTint="7F"/>
      </w:tcPr>
    </w:tblStylePr>
  </w:style>
  <w:style w:type="table" w:styleId="ColorfulGrid-Accent6">
    <w:name w:val="Colorful Grid Accent 6"/>
    <w:basedOn w:val="TableNormal"/>
    <w:uiPriority w:val="73"/>
    <w:pPr>
      <w:spacing w:after="0"/>
    </w:pPr>
    <w:rPr>
      <w:color w:val="FFFFFF" w:themeColor="text1"/>
    </w:rPr>
    <w:tblPr>
      <w:tblStyleRowBandSize w:val="1"/>
      <w:tblStyleColBandSize w:val="1"/>
      <w:tblBorders>
        <w:insideH w:val="single" w:sz="4" w:space="0" w:color="FFFFFF" w:themeColor="background1"/>
      </w:tblBorders>
    </w:tblPr>
    <w:tcPr>
      <w:shd w:val="clear" w:color="auto" w:fill="FFAFBE" w:themeFill="accent6" w:themeFillTint="33"/>
    </w:tcPr>
    <w:tblStylePr w:type="firstRow">
      <w:rPr>
        <w:b/>
        <w:bCs/>
      </w:rPr>
      <w:tblPr/>
      <w:tcPr>
        <w:shd w:val="clear" w:color="auto" w:fill="FF5F7D" w:themeFill="accent6" w:themeFillTint="66"/>
      </w:tcPr>
    </w:tblStylePr>
    <w:tblStylePr w:type="lastRow">
      <w:rPr>
        <w:b/>
        <w:bCs/>
        <w:color w:val="FFFFFF" w:themeColor="text1"/>
      </w:rPr>
      <w:tblPr/>
      <w:tcPr>
        <w:shd w:val="clear" w:color="auto" w:fill="FF5F7D" w:themeFill="accent6" w:themeFillTint="66"/>
      </w:tcPr>
    </w:tblStylePr>
    <w:tblStylePr w:type="firstCol">
      <w:rPr>
        <w:color w:val="FFFFFF" w:themeColor="background1"/>
      </w:rPr>
      <w:tblPr/>
      <w:tcPr>
        <w:shd w:val="clear" w:color="auto" w:fill="53000F" w:themeFill="accent6" w:themeFillShade="BF"/>
      </w:tcPr>
    </w:tblStylePr>
    <w:tblStylePr w:type="lastCol">
      <w:rPr>
        <w:color w:val="FFFFFF" w:themeColor="background1"/>
      </w:rPr>
      <w:tblPr/>
      <w:tcPr>
        <w:shd w:val="clear" w:color="auto" w:fill="53000F" w:themeFill="accent6" w:themeFillShade="BF"/>
      </w:tcPr>
    </w:tblStylePr>
    <w:tblStylePr w:type="band1Vert">
      <w:tblPr/>
      <w:tcPr>
        <w:shd w:val="clear" w:color="auto" w:fill="FF385D" w:themeFill="accent6" w:themeFillTint="7F"/>
      </w:tcPr>
    </w:tblStylePr>
    <w:tblStylePr w:type="band1Horz">
      <w:tblPr/>
      <w:tcPr>
        <w:shd w:val="clear" w:color="auto" w:fill="FF385D" w:themeFill="accent6" w:themeFillTint="7F"/>
      </w:tcPr>
    </w:tblStylePr>
  </w:style>
  <w:style w:type="table" w:styleId="ColorfulList">
    <w:name w:val="Colorful List"/>
    <w:basedOn w:val="TableNormal"/>
    <w:uiPriority w:val="72"/>
    <w:pPr>
      <w:spacing w:after="0"/>
    </w:pPr>
    <w:rPr>
      <w:color w:val="FFFFFF" w:themeColor="text1"/>
    </w:rPr>
    <w:tblPr>
      <w:tblStyleRowBandSize w:val="1"/>
      <w:tblStyleColBandSize w:val="1"/>
    </w:tblPr>
    <w:tcPr>
      <w:shd w:val="clear" w:color="auto" w:fill="FFFFFF" w:themeFill="text1" w:themeFillTint="19"/>
    </w:tcPr>
    <w:tblStylePr w:type="firstRow">
      <w:rPr>
        <w:b/>
        <w:bCs/>
        <w:color w:val="FFFFFF" w:themeColor="background1"/>
      </w:rPr>
      <w:tblPr/>
      <w:tcPr>
        <w:tcBorders>
          <w:bottom w:val="single" w:sz="12" w:space="0" w:color="FFFFFF" w:themeColor="background1"/>
        </w:tcBorders>
        <w:shd w:val="clear" w:color="auto" w:fill="770335" w:themeFill="accent2" w:themeFillShade="CC"/>
      </w:tcPr>
    </w:tblStylePr>
    <w:tblStylePr w:type="lastRow">
      <w:rPr>
        <w:b/>
        <w:bCs/>
        <w:color w:val="770335"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text1" w:themeFillTint="3F"/>
      </w:tcPr>
    </w:tblStylePr>
    <w:tblStylePr w:type="band1Horz">
      <w:tblPr/>
      <w:tcPr>
        <w:shd w:val="clear" w:color="auto" w:fill="FFFFFF" w:themeFill="text1" w:themeFillTint="33"/>
      </w:tcPr>
    </w:tblStylePr>
  </w:style>
  <w:style w:type="table" w:styleId="ColorfulList-Accent1">
    <w:name w:val="Colorful List Accent 1"/>
    <w:basedOn w:val="TableNormal"/>
    <w:uiPriority w:val="72"/>
    <w:pPr>
      <w:spacing w:after="0"/>
    </w:pPr>
    <w:rPr>
      <w:color w:val="FFFFFF" w:themeColor="text1"/>
    </w:rPr>
    <w:tblPr>
      <w:tblStyleRowBandSize w:val="1"/>
      <w:tblStyleColBandSize w:val="1"/>
    </w:tblPr>
    <w:tcPr>
      <w:shd w:val="clear" w:color="auto" w:fill="FFDAE6" w:themeFill="accent1" w:themeFillTint="19"/>
    </w:tcPr>
    <w:tblStylePr w:type="firstRow">
      <w:rPr>
        <w:b/>
        <w:bCs/>
        <w:color w:val="FFFFFF" w:themeColor="background1"/>
      </w:rPr>
      <w:tblPr/>
      <w:tcPr>
        <w:tcBorders>
          <w:bottom w:val="single" w:sz="12" w:space="0" w:color="FFFFFF" w:themeColor="background1"/>
        </w:tcBorders>
        <w:shd w:val="clear" w:color="auto" w:fill="770335" w:themeFill="accent2" w:themeFillShade="CC"/>
      </w:tcPr>
    </w:tblStylePr>
    <w:tblStylePr w:type="lastRow">
      <w:rPr>
        <w:b/>
        <w:bCs/>
        <w:color w:val="770335"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3C1" w:themeFill="accent1" w:themeFillTint="3F"/>
      </w:tcPr>
    </w:tblStylePr>
    <w:tblStylePr w:type="band1Horz">
      <w:tblPr/>
      <w:tcPr>
        <w:shd w:val="clear" w:color="auto" w:fill="FFB4CD" w:themeFill="accent1" w:themeFillTint="33"/>
      </w:tcPr>
    </w:tblStylePr>
  </w:style>
  <w:style w:type="table" w:styleId="ColorfulList-Accent2">
    <w:name w:val="Colorful List Accent 2"/>
    <w:basedOn w:val="TableNormal"/>
    <w:uiPriority w:val="72"/>
    <w:pPr>
      <w:spacing w:after="0"/>
    </w:pPr>
    <w:rPr>
      <w:color w:val="FFFFFF" w:themeColor="text1"/>
    </w:rPr>
    <w:tblPr>
      <w:tblStyleRowBandSize w:val="1"/>
      <w:tblStyleColBandSize w:val="1"/>
    </w:tblPr>
    <w:tcPr>
      <w:shd w:val="clear" w:color="auto" w:fill="FEDCEB" w:themeFill="accent2" w:themeFillTint="19"/>
    </w:tcPr>
    <w:tblStylePr w:type="firstRow">
      <w:rPr>
        <w:b/>
        <w:bCs/>
        <w:color w:val="FFFFFF" w:themeColor="background1"/>
      </w:rPr>
      <w:tblPr/>
      <w:tcPr>
        <w:tcBorders>
          <w:bottom w:val="single" w:sz="12" w:space="0" w:color="FFFFFF" w:themeColor="background1"/>
        </w:tcBorders>
        <w:shd w:val="clear" w:color="auto" w:fill="770335" w:themeFill="accent2" w:themeFillShade="CC"/>
      </w:tcPr>
    </w:tblStylePr>
    <w:tblStylePr w:type="lastRow">
      <w:rPr>
        <w:b/>
        <w:bCs/>
        <w:color w:val="770335"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A9CD" w:themeFill="accent2" w:themeFillTint="3F"/>
      </w:tcPr>
    </w:tblStylePr>
    <w:tblStylePr w:type="band1Horz">
      <w:tblPr/>
      <w:tcPr>
        <w:shd w:val="clear" w:color="auto" w:fill="FDB9D6" w:themeFill="accent2" w:themeFillTint="33"/>
      </w:tcPr>
    </w:tblStylePr>
  </w:style>
  <w:style w:type="table" w:styleId="ColorfulList-Accent3">
    <w:name w:val="Colorful List Accent 3"/>
    <w:basedOn w:val="TableNormal"/>
    <w:uiPriority w:val="72"/>
    <w:pPr>
      <w:spacing w:after="0"/>
    </w:pPr>
    <w:rPr>
      <w:color w:val="FFFFFF" w:themeColor="text1"/>
    </w:rPr>
    <w:tblPr>
      <w:tblStyleRowBandSize w:val="1"/>
      <w:tblStyleColBandSize w:val="1"/>
    </w:tblPr>
    <w:tcPr>
      <w:shd w:val="clear" w:color="auto" w:fill="FEDEEC" w:themeFill="accent3" w:themeFillTint="19"/>
    </w:tcPr>
    <w:tblStylePr w:type="firstRow">
      <w:rPr>
        <w:b/>
        <w:bCs/>
        <w:color w:val="FFFFFF" w:themeColor="background1"/>
      </w:rPr>
      <w:tblPr/>
      <w:tcPr>
        <w:tcBorders>
          <w:bottom w:val="single" w:sz="12" w:space="0" w:color="FFFFFF" w:themeColor="background1"/>
        </w:tcBorders>
        <w:shd w:val="clear" w:color="auto" w:fill="FF8585" w:themeFill="accent4" w:themeFillShade="CC"/>
      </w:tcPr>
    </w:tblStylePr>
    <w:tblStylePr w:type="lastRow">
      <w:rPr>
        <w:b/>
        <w:bCs/>
        <w:color w:val="FF8585" w:themeColor="accent4"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AED0" w:themeFill="accent3" w:themeFillTint="3F"/>
      </w:tcPr>
    </w:tblStylePr>
    <w:tblStylePr w:type="band1Horz">
      <w:tblPr/>
      <w:tcPr>
        <w:shd w:val="clear" w:color="auto" w:fill="FDBDD8" w:themeFill="accent3" w:themeFillTint="33"/>
      </w:tcPr>
    </w:tblStylePr>
  </w:style>
  <w:style w:type="table" w:styleId="ColorfulList-Accent4">
    <w:name w:val="Colorful List Accent 4"/>
    <w:basedOn w:val="TableNormal"/>
    <w:uiPriority w:val="72"/>
    <w:pPr>
      <w:spacing w:after="0"/>
    </w:pPr>
    <w:rPr>
      <w:color w:val="FFFFFF" w:themeColor="text1"/>
    </w:rPr>
    <w:tblPr>
      <w:tblStyleRowBandSize w:val="1"/>
      <w:tblStyleColBandSize w:val="1"/>
    </w:tblPr>
    <w:tcPr>
      <w:shd w:val="clear" w:color="auto" w:fill="FFFCFC" w:themeFill="accent4" w:themeFillTint="19"/>
    </w:tcPr>
    <w:tblStylePr w:type="firstRow">
      <w:rPr>
        <w:b/>
        <w:bCs/>
        <w:color w:val="FFFFFF" w:themeColor="background1"/>
      </w:rPr>
      <w:tblPr/>
      <w:tcPr>
        <w:tcBorders>
          <w:bottom w:val="single" w:sz="12" w:space="0" w:color="FFFFFF" w:themeColor="background1"/>
        </w:tcBorders>
        <w:shd w:val="clear" w:color="auto" w:fill="88043C" w:themeFill="accent3" w:themeFillShade="CC"/>
      </w:tcPr>
    </w:tblStylePr>
    <w:tblStylePr w:type="lastRow">
      <w:rPr>
        <w:b/>
        <w:bCs/>
        <w:color w:val="88043C" w:themeColor="accent3"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F9" w:themeFill="accent4" w:themeFillTint="3F"/>
      </w:tcPr>
    </w:tblStylePr>
    <w:tblStylePr w:type="band1Horz">
      <w:tblPr/>
      <w:tcPr>
        <w:shd w:val="clear" w:color="auto" w:fill="FFFAFA" w:themeFill="accent4" w:themeFillTint="33"/>
      </w:tcPr>
    </w:tblStylePr>
  </w:style>
  <w:style w:type="table" w:styleId="ColorfulList-Accent5">
    <w:name w:val="Colorful List Accent 5"/>
    <w:basedOn w:val="TableNormal"/>
    <w:uiPriority w:val="72"/>
    <w:pPr>
      <w:spacing w:after="0"/>
    </w:pPr>
    <w:rPr>
      <w:color w:val="FFFFFF" w:themeColor="text1"/>
    </w:rPr>
    <w:tblPr>
      <w:tblStyleRowBandSize w:val="1"/>
      <w:tblStyleColBandSize w:val="1"/>
    </w:tblPr>
    <w:tcPr>
      <w:shd w:val="clear" w:color="auto" w:fill="FFFBFB" w:themeFill="accent5" w:themeFillTint="19"/>
    </w:tcPr>
    <w:tblStylePr w:type="firstRow">
      <w:rPr>
        <w:b/>
        <w:bCs/>
        <w:color w:val="FFFFFF" w:themeColor="background1"/>
      </w:rPr>
      <w:tblPr/>
      <w:tcPr>
        <w:tcBorders>
          <w:bottom w:val="single" w:sz="12" w:space="0" w:color="FFFFFF" w:themeColor="background1"/>
        </w:tcBorders>
        <w:shd w:val="clear" w:color="auto" w:fill="590010" w:themeFill="accent6" w:themeFillShade="CC"/>
      </w:tcPr>
    </w:tblStylePr>
    <w:tblStylePr w:type="lastRow">
      <w:rPr>
        <w:b/>
        <w:bCs/>
        <w:color w:val="590010" w:themeColor="accent6"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F6" w:themeFill="accent5" w:themeFillTint="3F"/>
      </w:tcPr>
    </w:tblStylePr>
    <w:tblStylePr w:type="band1Horz">
      <w:tblPr/>
      <w:tcPr>
        <w:shd w:val="clear" w:color="auto" w:fill="FEF7F8" w:themeFill="accent5" w:themeFillTint="33"/>
      </w:tcPr>
    </w:tblStylePr>
  </w:style>
  <w:style w:type="table" w:styleId="ColorfulList-Accent6">
    <w:name w:val="Colorful List Accent 6"/>
    <w:basedOn w:val="TableNormal"/>
    <w:uiPriority w:val="72"/>
    <w:pPr>
      <w:spacing w:after="0"/>
    </w:pPr>
    <w:rPr>
      <w:color w:val="FFFFFF" w:themeColor="text1"/>
    </w:rPr>
    <w:tblPr>
      <w:tblStyleRowBandSize w:val="1"/>
      <w:tblStyleColBandSize w:val="1"/>
    </w:tblPr>
    <w:tcPr>
      <w:shd w:val="clear" w:color="auto" w:fill="FFD7DE" w:themeFill="accent6" w:themeFillTint="19"/>
    </w:tcPr>
    <w:tblStylePr w:type="firstRow">
      <w:rPr>
        <w:b/>
        <w:bCs/>
        <w:color w:val="FFFFFF" w:themeColor="background1"/>
      </w:rPr>
      <w:tblPr/>
      <w:tcPr>
        <w:tcBorders>
          <w:bottom w:val="single" w:sz="12" w:space="0" w:color="FFFFFF" w:themeColor="background1"/>
        </w:tcBorders>
        <w:shd w:val="clear" w:color="auto" w:fill="FB7D88" w:themeFill="accent5" w:themeFillShade="CC"/>
      </w:tcPr>
    </w:tblStylePr>
    <w:tblStylePr w:type="lastRow">
      <w:rPr>
        <w:b/>
        <w:bCs/>
        <w:color w:val="FB7D88" w:themeColor="accent5"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AE" w:themeFill="accent6" w:themeFillTint="3F"/>
      </w:tcPr>
    </w:tblStylePr>
    <w:tblStylePr w:type="band1Horz">
      <w:tblPr/>
      <w:tcPr>
        <w:shd w:val="clear" w:color="auto" w:fill="FFAFBE" w:themeFill="accent6" w:themeFillTint="33"/>
      </w:tcPr>
    </w:tblStylePr>
  </w:style>
  <w:style w:type="table" w:styleId="ColorfulShading">
    <w:name w:val="Colorful Shading"/>
    <w:basedOn w:val="TableNormal"/>
    <w:uiPriority w:val="71"/>
    <w:pPr>
      <w:spacing w:after="0"/>
    </w:pPr>
    <w:rPr>
      <w:color w:val="FFFFFF" w:themeColor="text1"/>
    </w:rPr>
    <w:tblPr>
      <w:tblStyleRowBandSize w:val="1"/>
      <w:tblStyleColBandSize w:val="1"/>
      <w:tblBorders>
        <w:top w:val="single" w:sz="24" w:space="0" w:color="960443" w:themeColor="accent2"/>
        <w:left w:val="single" w:sz="4" w:space="0" w:color="FFFFFF" w:themeColor="text1"/>
        <w:bottom w:val="single" w:sz="4" w:space="0" w:color="FFFFFF" w:themeColor="text1"/>
        <w:right w:val="single" w:sz="4" w:space="0" w:color="FFFFFF" w:themeColor="text1"/>
        <w:insideH w:val="single" w:sz="4" w:space="0" w:color="FFFFFF" w:themeColor="background1"/>
        <w:insideV w:val="single" w:sz="4" w:space="0" w:color="FFFFFF" w:themeColor="background1"/>
      </w:tblBorders>
    </w:tblPr>
    <w:tcPr>
      <w:shd w:val="clear" w:color="auto" w:fill="FFFFFF" w:themeFill="text1" w:themeFillTint="19"/>
    </w:tcPr>
    <w:tblStylePr w:type="firstRow">
      <w:rPr>
        <w:b/>
        <w:bCs/>
      </w:rPr>
      <w:tblPr/>
      <w:tcPr>
        <w:tcBorders>
          <w:top w:val="nil"/>
          <w:left w:val="nil"/>
          <w:bottom w:val="single" w:sz="24" w:space="0" w:color="9604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text1" w:themeFillShade="99"/>
      </w:tcPr>
    </w:tblStylePr>
    <w:tblStylePr w:type="firstCol">
      <w:rPr>
        <w:color w:val="FFFFFF" w:themeColor="background1"/>
      </w:rPr>
      <w:tblPr/>
      <w:tcPr>
        <w:tcBorders>
          <w:top w:val="nil"/>
          <w:left w:val="nil"/>
          <w:bottom w:val="nil"/>
          <w:right w:val="nil"/>
          <w:insideH w:val="single" w:sz="4" w:space="0" w:color="999999" w:themeColor="text1" w:themeShade="99"/>
          <w:insideV w:val="nil"/>
        </w:tcBorders>
        <w:shd w:val="clear" w:color="auto" w:fill="99999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BFBFBF" w:themeFill="text1" w:themeFillShade="BF"/>
      </w:tcPr>
    </w:tblStylePr>
    <w:tblStylePr w:type="band1Vert">
      <w:tblPr/>
      <w:tcPr>
        <w:shd w:val="clear" w:color="auto" w:fill="FFFFFF" w:themeFill="text1" w:themeFillTint="66"/>
      </w:tcPr>
    </w:tblStylePr>
    <w:tblStylePr w:type="band1Horz">
      <w:tblPr/>
      <w:tcPr>
        <w:shd w:val="clear" w:color="auto" w:fill="FFFFFF" w:themeFill="text1" w:themeFillTint="7F"/>
      </w:tcPr>
    </w:tblStylePr>
    <w:tblStylePr w:type="neCell">
      <w:rPr>
        <w:color w:val="FFFFFF" w:themeColor="text1"/>
      </w:rPr>
    </w:tblStylePr>
    <w:tblStylePr w:type="nwCell">
      <w:rPr>
        <w:color w:val="FFFFFF" w:themeColor="text1"/>
      </w:rPr>
    </w:tblStylePr>
  </w:style>
  <w:style w:type="table" w:styleId="ColorfulShading-Accent1">
    <w:name w:val="Colorful Shading Accent 1"/>
    <w:basedOn w:val="TableNormal"/>
    <w:uiPriority w:val="71"/>
    <w:pPr>
      <w:spacing w:after="0"/>
    </w:pPr>
    <w:rPr>
      <w:color w:val="FFFFFF" w:themeColor="text1"/>
    </w:rPr>
    <w:tblPr>
      <w:tblStyleRowBandSize w:val="1"/>
      <w:tblStyleColBandSize w:val="1"/>
      <w:tblBorders>
        <w:top w:val="single" w:sz="24" w:space="0" w:color="960443" w:themeColor="accent2"/>
        <w:left w:val="single" w:sz="4" w:space="0" w:color="8A002E" w:themeColor="accent1"/>
        <w:bottom w:val="single" w:sz="4" w:space="0" w:color="8A002E" w:themeColor="accent1"/>
        <w:right w:val="single" w:sz="4" w:space="0" w:color="8A002E" w:themeColor="accent1"/>
        <w:insideH w:val="single" w:sz="4" w:space="0" w:color="FFFFFF" w:themeColor="background1"/>
        <w:insideV w:val="single" w:sz="4" w:space="0" w:color="FFFFFF" w:themeColor="background1"/>
      </w:tblBorders>
    </w:tblPr>
    <w:tcPr>
      <w:shd w:val="clear" w:color="auto" w:fill="FFDAE6" w:themeFill="accent1" w:themeFillTint="19"/>
    </w:tcPr>
    <w:tblStylePr w:type="firstRow">
      <w:rPr>
        <w:b/>
        <w:bCs/>
      </w:rPr>
      <w:tblPr/>
      <w:tcPr>
        <w:tcBorders>
          <w:top w:val="nil"/>
          <w:left w:val="nil"/>
          <w:bottom w:val="single" w:sz="24" w:space="0" w:color="9604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001B" w:themeFill="accent1" w:themeFillShade="99"/>
      </w:tcPr>
    </w:tblStylePr>
    <w:tblStylePr w:type="firstCol">
      <w:rPr>
        <w:color w:val="FFFFFF" w:themeColor="background1"/>
      </w:rPr>
      <w:tblPr/>
      <w:tcPr>
        <w:tcBorders>
          <w:top w:val="nil"/>
          <w:left w:val="nil"/>
          <w:bottom w:val="nil"/>
          <w:right w:val="nil"/>
          <w:insideH w:val="single" w:sz="4" w:space="0" w:color="52001B" w:themeColor="accent1" w:themeShade="99"/>
          <w:insideV w:val="nil"/>
        </w:tcBorders>
        <w:shd w:val="clear" w:color="auto" w:fill="52001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2001B" w:themeFill="accent1" w:themeFillShade="99"/>
      </w:tcPr>
    </w:tblStylePr>
    <w:tblStylePr w:type="band1Vert">
      <w:tblPr/>
      <w:tcPr>
        <w:shd w:val="clear" w:color="auto" w:fill="FF6A9B" w:themeFill="accent1" w:themeFillTint="66"/>
      </w:tcPr>
    </w:tblStylePr>
    <w:tblStylePr w:type="band1Horz">
      <w:tblPr/>
      <w:tcPr>
        <w:shd w:val="clear" w:color="auto" w:fill="FF4583" w:themeFill="accent1" w:themeFillTint="7F"/>
      </w:tcPr>
    </w:tblStylePr>
    <w:tblStylePr w:type="neCell">
      <w:rPr>
        <w:color w:val="FFFFFF" w:themeColor="text1"/>
      </w:rPr>
    </w:tblStylePr>
    <w:tblStylePr w:type="nwCell">
      <w:rPr>
        <w:color w:val="FFFFFF" w:themeColor="text1"/>
      </w:rPr>
    </w:tblStylePr>
  </w:style>
  <w:style w:type="table" w:styleId="ColorfulShading-Accent2">
    <w:name w:val="Colorful Shading Accent 2"/>
    <w:basedOn w:val="TableNormal"/>
    <w:uiPriority w:val="71"/>
    <w:pPr>
      <w:spacing w:after="0"/>
    </w:pPr>
    <w:rPr>
      <w:color w:val="FFFFFF" w:themeColor="text1"/>
    </w:rPr>
    <w:tblPr>
      <w:tblStyleRowBandSize w:val="1"/>
      <w:tblStyleColBandSize w:val="1"/>
      <w:tblBorders>
        <w:top w:val="single" w:sz="24" w:space="0" w:color="960443" w:themeColor="accent2"/>
        <w:left w:val="single" w:sz="4" w:space="0" w:color="960443" w:themeColor="accent2"/>
        <w:bottom w:val="single" w:sz="4" w:space="0" w:color="960443" w:themeColor="accent2"/>
        <w:right w:val="single" w:sz="4" w:space="0" w:color="960443" w:themeColor="accent2"/>
        <w:insideH w:val="single" w:sz="4" w:space="0" w:color="FFFFFF" w:themeColor="background1"/>
        <w:insideV w:val="single" w:sz="4" w:space="0" w:color="FFFFFF" w:themeColor="background1"/>
      </w:tblBorders>
    </w:tblPr>
    <w:tcPr>
      <w:shd w:val="clear" w:color="auto" w:fill="FEDCEB" w:themeFill="accent2" w:themeFillTint="19"/>
    </w:tcPr>
    <w:tblStylePr w:type="firstRow">
      <w:rPr>
        <w:b/>
        <w:bCs/>
      </w:rPr>
      <w:tblPr/>
      <w:tcPr>
        <w:tcBorders>
          <w:top w:val="nil"/>
          <w:left w:val="nil"/>
          <w:bottom w:val="single" w:sz="24" w:space="0" w:color="9604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0228" w:themeFill="accent2" w:themeFillShade="99"/>
      </w:tcPr>
    </w:tblStylePr>
    <w:tblStylePr w:type="firstCol">
      <w:rPr>
        <w:color w:val="FFFFFF" w:themeColor="background1"/>
      </w:rPr>
      <w:tblPr/>
      <w:tcPr>
        <w:tcBorders>
          <w:top w:val="nil"/>
          <w:left w:val="nil"/>
          <w:bottom w:val="nil"/>
          <w:right w:val="nil"/>
          <w:insideH w:val="single" w:sz="4" w:space="0" w:color="590228" w:themeColor="accent2" w:themeShade="99"/>
          <w:insideV w:val="nil"/>
        </w:tcBorders>
        <w:shd w:val="clear" w:color="auto" w:fill="5902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90228" w:themeFill="accent2" w:themeFillShade="99"/>
      </w:tcPr>
    </w:tblStylePr>
    <w:tblStylePr w:type="band1Vert">
      <w:tblPr/>
      <w:tcPr>
        <w:shd w:val="clear" w:color="auto" w:fill="FB74AE" w:themeFill="accent2" w:themeFillTint="66"/>
      </w:tcPr>
    </w:tblStylePr>
    <w:tblStylePr w:type="band1Horz">
      <w:tblPr/>
      <w:tcPr>
        <w:shd w:val="clear" w:color="auto" w:fill="FA529A" w:themeFill="accent2" w:themeFillTint="7F"/>
      </w:tcPr>
    </w:tblStylePr>
    <w:tblStylePr w:type="neCell">
      <w:rPr>
        <w:color w:val="FFFFFF" w:themeColor="text1"/>
      </w:rPr>
    </w:tblStylePr>
    <w:tblStylePr w:type="nwCell">
      <w:rPr>
        <w:color w:val="FFFFFF" w:themeColor="text1"/>
      </w:rPr>
    </w:tblStylePr>
  </w:style>
  <w:style w:type="table" w:styleId="ColorfulShading-Accent3">
    <w:name w:val="Colorful Shading Accent 3"/>
    <w:basedOn w:val="TableNormal"/>
    <w:uiPriority w:val="71"/>
    <w:pPr>
      <w:spacing w:after="0"/>
    </w:pPr>
    <w:rPr>
      <w:color w:val="FFFFFF" w:themeColor="text1"/>
    </w:rPr>
    <w:tblPr>
      <w:tblStyleRowBandSize w:val="1"/>
      <w:tblStyleColBandSize w:val="1"/>
      <w:tblBorders>
        <w:top w:val="single" w:sz="24" w:space="0" w:color="FFE7E7" w:themeColor="accent4"/>
        <w:left w:val="single" w:sz="4" w:space="0" w:color="AB054C" w:themeColor="accent3"/>
        <w:bottom w:val="single" w:sz="4" w:space="0" w:color="AB054C" w:themeColor="accent3"/>
        <w:right w:val="single" w:sz="4" w:space="0" w:color="AB054C" w:themeColor="accent3"/>
        <w:insideH w:val="single" w:sz="4" w:space="0" w:color="FFFFFF" w:themeColor="background1"/>
        <w:insideV w:val="single" w:sz="4" w:space="0" w:color="FFFFFF" w:themeColor="background1"/>
      </w:tblBorders>
    </w:tblPr>
    <w:tcPr>
      <w:shd w:val="clear" w:color="auto" w:fill="FEDEEC" w:themeFill="accent3" w:themeFillTint="19"/>
    </w:tcPr>
    <w:tblStylePr w:type="firstRow">
      <w:rPr>
        <w:b/>
        <w:bCs/>
      </w:rPr>
      <w:tblPr/>
      <w:tcPr>
        <w:tcBorders>
          <w:top w:val="nil"/>
          <w:left w:val="nil"/>
          <w:bottom w:val="single" w:sz="24" w:space="0" w:color="FFE7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32D" w:themeFill="accent3" w:themeFillShade="99"/>
      </w:tcPr>
    </w:tblStylePr>
    <w:tblStylePr w:type="firstCol">
      <w:rPr>
        <w:color w:val="FFFFFF" w:themeColor="background1"/>
      </w:rPr>
      <w:tblPr/>
      <w:tcPr>
        <w:tcBorders>
          <w:top w:val="nil"/>
          <w:left w:val="nil"/>
          <w:bottom w:val="nil"/>
          <w:right w:val="nil"/>
          <w:insideH w:val="single" w:sz="4" w:space="0" w:color="66032D" w:themeColor="accent3" w:themeShade="99"/>
          <w:insideV w:val="nil"/>
        </w:tcBorders>
        <w:shd w:val="clear" w:color="auto" w:fill="66032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032D" w:themeFill="accent3" w:themeFillShade="99"/>
      </w:tcPr>
    </w:tblStylePr>
    <w:tblStylePr w:type="band1Vert">
      <w:tblPr/>
      <w:tcPr>
        <w:shd w:val="clear" w:color="auto" w:fill="FB7DB3" w:themeFill="accent3" w:themeFillTint="66"/>
      </w:tcPr>
    </w:tblStylePr>
    <w:tblStylePr w:type="band1Horz">
      <w:tblPr/>
      <w:tcPr>
        <w:shd w:val="clear" w:color="auto" w:fill="FA5DA0" w:themeFill="accent3" w:themeFillTint="7F"/>
      </w:tcPr>
    </w:tblStylePr>
  </w:style>
  <w:style w:type="table" w:styleId="ColorfulShading-Accent4">
    <w:name w:val="Colorful Shading Accent 4"/>
    <w:basedOn w:val="TableNormal"/>
    <w:uiPriority w:val="71"/>
    <w:pPr>
      <w:spacing w:after="0"/>
    </w:pPr>
    <w:rPr>
      <w:color w:val="FFFFFF" w:themeColor="text1"/>
    </w:rPr>
    <w:tblPr>
      <w:tblStyleRowBandSize w:val="1"/>
      <w:tblStyleColBandSize w:val="1"/>
      <w:tblBorders>
        <w:top w:val="single" w:sz="24" w:space="0" w:color="AB054C" w:themeColor="accent3"/>
        <w:left w:val="single" w:sz="4" w:space="0" w:color="FFE7E7" w:themeColor="accent4"/>
        <w:bottom w:val="single" w:sz="4" w:space="0" w:color="FFE7E7" w:themeColor="accent4"/>
        <w:right w:val="single" w:sz="4" w:space="0" w:color="FFE7E7" w:themeColor="accent4"/>
        <w:insideH w:val="single" w:sz="4" w:space="0" w:color="FFFFFF" w:themeColor="background1"/>
        <w:insideV w:val="single" w:sz="4" w:space="0" w:color="FFFFFF" w:themeColor="background1"/>
      </w:tblBorders>
    </w:tblPr>
    <w:tcPr>
      <w:shd w:val="clear" w:color="auto" w:fill="FFFCFC" w:themeFill="accent4" w:themeFillTint="19"/>
    </w:tcPr>
    <w:tblStylePr w:type="firstRow">
      <w:rPr>
        <w:b/>
        <w:bCs/>
      </w:rPr>
      <w:tblPr/>
      <w:tcPr>
        <w:tcBorders>
          <w:top w:val="nil"/>
          <w:left w:val="nil"/>
          <w:bottom w:val="single" w:sz="24" w:space="0" w:color="AB054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2424" w:themeFill="accent4" w:themeFillShade="99"/>
      </w:tcPr>
    </w:tblStylePr>
    <w:tblStylePr w:type="firstCol">
      <w:rPr>
        <w:color w:val="FFFFFF" w:themeColor="background1"/>
      </w:rPr>
      <w:tblPr/>
      <w:tcPr>
        <w:tcBorders>
          <w:top w:val="nil"/>
          <w:left w:val="nil"/>
          <w:bottom w:val="nil"/>
          <w:right w:val="nil"/>
          <w:insideH w:val="single" w:sz="4" w:space="0" w:color="FF2424" w:themeColor="accent4" w:themeShade="99"/>
          <w:insideV w:val="nil"/>
        </w:tcBorders>
        <w:shd w:val="clear" w:color="auto" w:fill="FF24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FF2424" w:themeFill="accent4" w:themeFillShade="99"/>
      </w:tcPr>
    </w:tblStylePr>
    <w:tblStylePr w:type="band1Vert">
      <w:tblPr/>
      <w:tcPr>
        <w:shd w:val="clear" w:color="auto" w:fill="FFF5F5" w:themeFill="accent4" w:themeFillTint="66"/>
      </w:tcPr>
    </w:tblStylePr>
    <w:tblStylePr w:type="band1Horz">
      <w:tblPr/>
      <w:tcPr>
        <w:shd w:val="clear" w:color="auto" w:fill="FFF3F3" w:themeFill="accent4" w:themeFillTint="7F"/>
      </w:tcPr>
    </w:tblStylePr>
    <w:tblStylePr w:type="neCell">
      <w:rPr>
        <w:color w:val="FFFFFF" w:themeColor="text1"/>
      </w:rPr>
    </w:tblStylePr>
    <w:tblStylePr w:type="nwCell">
      <w:rPr>
        <w:color w:val="FFFFFF" w:themeColor="text1"/>
      </w:rPr>
    </w:tblStylePr>
  </w:style>
  <w:style w:type="table" w:styleId="ColorfulShading-Accent5">
    <w:name w:val="Colorful Shading Accent 5"/>
    <w:basedOn w:val="TableNormal"/>
    <w:uiPriority w:val="71"/>
    <w:pPr>
      <w:spacing w:after="0"/>
    </w:pPr>
    <w:rPr>
      <w:color w:val="FFFFFF" w:themeColor="text1"/>
    </w:rPr>
    <w:tblPr>
      <w:tblStyleRowBandSize w:val="1"/>
      <w:tblStyleColBandSize w:val="1"/>
      <w:tblBorders>
        <w:top w:val="single" w:sz="24" w:space="0" w:color="700015" w:themeColor="accent6"/>
        <w:left w:val="single" w:sz="4" w:space="0" w:color="FEDADD" w:themeColor="accent5"/>
        <w:bottom w:val="single" w:sz="4" w:space="0" w:color="FEDADD" w:themeColor="accent5"/>
        <w:right w:val="single" w:sz="4" w:space="0" w:color="FEDADD" w:themeColor="accent5"/>
        <w:insideH w:val="single" w:sz="4" w:space="0" w:color="FFFFFF" w:themeColor="background1"/>
        <w:insideV w:val="single" w:sz="4" w:space="0" w:color="FFFFFF" w:themeColor="background1"/>
      </w:tblBorders>
    </w:tblPr>
    <w:tcPr>
      <w:shd w:val="clear" w:color="auto" w:fill="FFFBFB" w:themeFill="accent5" w:themeFillTint="19"/>
    </w:tcPr>
    <w:tblStylePr w:type="firstRow">
      <w:rPr>
        <w:b/>
        <w:bCs/>
      </w:rPr>
      <w:tblPr/>
      <w:tcPr>
        <w:tcBorders>
          <w:top w:val="nil"/>
          <w:left w:val="nil"/>
          <w:bottom w:val="single" w:sz="24" w:space="0" w:color="70001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92233" w:themeFill="accent5" w:themeFillShade="99"/>
      </w:tcPr>
    </w:tblStylePr>
    <w:tblStylePr w:type="firstCol">
      <w:rPr>
        <w:color w:val="FFFFFF" w:themeColor="background1"/>
      </w:rPr>
      <w:tblPr/>
      <w:tcPr>
        <w:tcBorders>
          <w:top w:val="nil"/>
          <w:left w:val="nil"/>
          <w:bottom w:val="nil"/>
          <w:right w:val="nil"/>
          <w:insideH w:val="single" w:sz="4" w:space="0" w:color="F92233" w:themeColor="accent5" w:themeShade="99"/>
          <w:insideV w:val="nil"/>
        </w:tcBorders>
        <w:shd w:val="clear" w:color="auto" w:fill="F922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92233" w:themeFill="accent5" w:themeFillShade="99"/>
      </w:tcPr>
    </w:tblStylePr>
    <w:tblStylePr w:type="band1Vert">
      <w:tblPr/>
      <w:tcPr>
        <w:shd w:val="clear" w:color="auto" w:fill="FEF0F1" w:themeFill="accent5" w:themeFillTint="66"/>
      </w:tcPr>
    </w:tblStylePr>
    <w:tblStylePr w:type="band1Horz">
      <w:tblPr/>
      <w:tcPr>
        <w:shd w:val="clear" w:color="auto" w:fill="FEECED" w:themeFill="accent5" w:themeFillTint="7F"/>
      </w:tcPr>
    </w:tblStylePr>
    <w:tblStylePr w:type="neCell">
      <w:rPr>
        <w:color w:val="FFFFFF" w:themeColor="text1"/>
      </w:rPr>
    </w:tblStylePr>
    <w:tblStylePr w:type="nwCell">
      <w:rPr>
        <w:color w:val="FFFFFF" w:themeColor="text1"/>
      </w:rPr>
    </w:tblStylePr>
  </w:style>
  <w:style w:type="table" w:styleId="ColorfulShading-Accent6">
    <w:name w:val="Colorful Shading Accent 6"/>
    <w:basedOn w:val="TableNormal"/>
    <w:uiPriority w:val="71"/>
    <w:pPr>
      <w:spacing w:after="0"/>
    </w:pPr>
    <w:rPr>
      <w:color w:val="FFFFFF" w:themeColor="text1"/>
    </w:rPr>
    <w:tblPr>
      <w:tblStyleRowBandSize w:val="1"/>
      <w:tblStyleColBandSize w:val="1"/>
      <w:tblBorders>
        <w:top w:val="single" w:sz="24" w:space="0" w:color="FEDADD" w:themeColor="accent5"/>
        <w:left w:val="single" w:sz="4" w:space="0" w:color="700015" w:themeColor="accent6"/>
        <w:bottom w:val="single" w:sz="4" w:space="0" w:color="700015" w:themeColor="accent6"/>
        <w:right w:val="single" w:sz="4" w:space="0" w:color="700015" w:themeColor="accent6"/>
        <w:insideH w:val="single" w:sz="4" w:space="0" w:color="FFFFFF" w:themeColor="background1"/>
        <w:insideV w:val="single" w:sz="4" w:space="0" w:color="FFFFFF" w:themeColor="background1"/>
      </w:tblBorders>
    </w:tblPr>
    <w:tcPr>
      <w:shd w:val="clear" w:color="auto" w:fill="FFD7DE" w:themeFill="accent6" w:themeFillTint="19"/>
    </w:tcPr>
    <w:tblStylePr w:type="firstRow">
      <w:rPr>
        <w:b/>
        <w:bCs/>
      </w:rPr>
      <w:tblPr/>
      <w:tcPr>
        <w:tcBorders>
          <w:top w:val="nil"/>
          <w:left w:val="nil"/>
          <w:bottom w:val="single" w:sz="24" w:space="0" w:color="FEDA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000C" w:themeFill="accent6" w:themeFillShade="99"/>
      </w:tcPr>
    </w:tblStylePr>
    <w:tblStylePr w:type="firstCol">
      <w:rPr>
        <w:color w:val="FFFFFF" w:themeColor="background1"/>
      </w:rPr>
      <w:tblPr/>
      <w:tcPr>
        <w:tcBorders>
          <w:top w:val="nil"/>
          <w:left w:val="nil"/>
          <w:bottom w:val="nil"/>
          <w:right w:val="nil"/>
          <w:insideH w:val="single" w:sz="4" w:space="0" w:color="43000C" w:themeColor="accent6" w:themeShade="99"/>
          <w:insideV w:val="nil"/>
        </w:tcBorders>
        <w:shd w:val="clear" w:color="auto" w:fill="43000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000C" w:themeFill="accent6" w:themeFillShade="99"/>
      </w:tcPr>
    </w:tblStylePr>
    <w:tblStylePr w:type="band1Vert">
      <w:tblPr/>
      <w:tcPr>
        <w:shd w:val="clear" w:color="auto" w:fill="FF5F7D" w:themeFill="accent6" w:themeFillTint="66"/>
      </w:tcPr>
    </w:tblStylePr>
    <w:tblStylePr w:type="band1Horz">
      <w:tblPr/>
      <w:tcPr>
        <w:shd w:val="clear" w:color="auto" w:fill="FF385D" w:themeFill="accent6" w:themeFillTint="7F"/>
      </w:tcPr>
    </w:tblStylePr>
    <w:tblStylePr w:type="neCell">
      <w:rPr>
        <w:color w:val="FFFFFF" w:themeColor="text1"/>
      </w:rPr>
    </w:tblStylePr>
    <w:tblStylePr w:type="nwCell">
      <w:rPr>
        <w:color w:val="FFFFFF" w:themeColor="text1"/>
      </w:rPr>
    </w:tblStyle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pPr>
    <w:rPr>
      <w:color w:val="FFFFFF" w:themeColor="background1"/>
    </w:rPr>
    <w:tblPr>
      <w:tblStyleRowBandSize w:val="1"/>
      <w:tblStyleColBandSize w:val="1"/>
    </w:tblPr>
    <w:tcPr>
      <w:shd w:val="clear" w:color="auto" w:fill="FFFFFF" w:themeFill="text1"/>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text1" w:themeFillShade="BF"/>
      </w:tcPr>
    </w:tblStylePr>
    <w:tblStylePr w:type="band1Vert">
      <w:tblPr/>
      <w:tcPr>
        <w:tcBorders>
          <w:top w:val="nil"/>
          <w:left w:val="nil"/>
          <w:bottom w:val="nil"/>
          <w:right w:val="nil"/>
          <w:insideH w:val="nil"/>
          <w:insideV w:val="nil"/>
        </w:tcBorders>
        <w:shd w:val="clear" w:color="auto" w:fill="BFBFBF" w:themeFill="text1" w:themeFillShade="BF"/>
      </w:tcPr>
    </w:tblStylePr>
    <w:tblStylePr w:type="band1Horz">
      <w:tblPr/>
      <w:tcPr>
        <w:tcBorders>
          <w:top w:val="nil"/>
          <w:left w:val="nil"/>
          <w:bottom w:val="nil"/>
          <w:right w:val="nil"/>
          <w:insideH w:val="nil"/>
          <w:insideV w:val="nil"/>
        </w:tcBorders>
        <w:shd w:val="clear" w:color="auto" w:fill="BFBFBF" w:themeFill="text1" w:themeFillShade="BF"/>
      </w:tcPr>
    </w:tblStylePr>
  </w:style>
  <w:style w:type="table" w:styleId="DarkList-Accent1">
    <w:name w:val="Dark List Accent 1"/>
    <w:basedOn w:val="TableNormal"/>
    <w:uiPriority w:val="70"/>
    <w:pPr>
      <w:spacing w:after="0"/>
    </w:pPr>
    <w:rPr>
      <w:color w:val="FFFFFF" w:themeColor="background1"/>
    </w:rPr>
    <w:tblPr>
      <w:tblStyleRowBandSize w:val="1"/>
      <w:tblStyleColBandSize w:val="1"/>
    </w:tblPr>
    <w:tcPr>
      <w:shd w:val="clear" w:color="auto" w:fill="8A00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44001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7002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70022" w:themeFill="accent1" w:themeFillShade="BF"/>
      </w:tcPr>
    </w:tblStylePr>
    <w:tblStylePr w:type="band1Vert">
      <w:tblPr/>
      <w:tcPr>
        <w:tcBorders>
          <w:top w:val="nil"/>
          <w:left w:val="nil"/>
          <w:bottom w:val="nil"/>
          <w:right w:val="nil"/>
          <w:insideH w:val="nil"/>
          <w:insideV w:val="nil"/>
        </w:tcBorders>
        <w:shd w:val="clear" w:color="auto" w:fill="670022" w:themeFill="accent1" w:themeFillShade="BF"/>
      </w:tcPr>
    </w:tblStylePr>
    <w:tblStylePr w:type="band1Horz">
      <w:tblPr/>
      <w:tcPr>
        <w:tcBorders>
          <w:top w:val="nil"/>
          <w:left w:val="nil"/>
          <w:bottom w:val="nil"/>
          <w:right w:val="nil"/>
          <w:insideH w:val="nil"/>
          <w:insideV w:val="nil"/>
        </w:tcBorders>
        <w:shd w:val="clear" w:color="auto" w:fill="670022" w:themeFill="accent1" w:themeFillShade="BF"/>
      </w:tcPr>
    </w:tblStylePr>
  </w:style>
  <w:style w:type="table" w:styleId="DarkList-Accent2">
    <w:name w:val="Dark List Accent 2"/>
    <w:basedOn w:val="TableNormal"/>
    <w:uiPriority w:val="70"/>
    <w:pPr>
      <w:spacing w:after="0"/>
    </w:pPr>
    <w:rPr>
      <w:color w:val="FFFFFF" w:themeColor="background1"/>
    </w:rPr>
    <w:tblPr>
      <w:tblStyleRowBandSize w:val="1"/>
      <w:tblStyleColBandSize w:val="1"/>
    </w:tblPr>
    <w:tcPr>
      <w:shd w:val="clear" w:color="auto" w:fill="96044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4A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03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0332" w:themeFill="accent2" w:themeFillShade="BF"/>
      </w:tcPr>
    </w:tblStylePr>
    <w:tblStylePr w:type="band1Vert">
      <w:tblPr/>
      <w:tcPr>
        <w:tcBorders>
          <w:top w:val="nil"/>
          <w:left w:val="nil"/>
          <w:bottom w:val="nil"/>
          <w:right w:val="nil"/>
          <w:insideH w:val="nil"/>
          <w:insideV w:val="nil"/>
        </w:tcBorders>
        <w:shd w:val="clear" w:color="auto" w:fill="700332" w:themeFill="accent2" w:themeFillShade="BF"/>
      </w:tcPr>
    </w:tblStylePr>
    <w:tblStylePr w:type="band1Horz">
      <w:tblPr/>
      <w:tcPr>
        <w:tcBorders>
          <w:top w:val="nil"/>
          <w:left w:val="nil"/>
          <w:bottom w:val="nil"/>
          <w:right w:val="nil"/>
          <w:insideH w:val="nil"/>
          <w:insideV w:val="nil"/>
        </w:tcBorders>
        <w:shd w:val="clear" w:color="auto" w:fill="700332" w:themeFill="accent2" w:themeFillShade="BF"/>
      </w:tcPr>
    </w:tblStylePr>
  </w:style>
  <w:style w:type="table" w:styleId="DarkList-Accent3">
    <w:name w:val="Dark List Accent 3"/>
    <w:basedOn w:val="TableNormal"/>
    <w:uiPriority w:val="70"/>
    <w:pPr>
      <w:spacing w:after="0"/>
    </w:pPr>
    <w:rPr>
      <w:color w:val="FFFFFF" w:themeColor="background1"/>
    </w:rPr>
    <w:tblPr>
      <w:tblStyleRowBandSize w:val="1"/>
      <w:tblStyleColBandSize w:val="1"/>
    </w:tblPr>
    <w:tcPr>
      <w:shd w:val="clear" w:color="auto" w:fill="AB054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54022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F033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F0338" w:themeFill="accent3" w:themeFillShade="BF"/>
      </w:tcPr>
    </w:tblStylePr>
    <w:tblStylePr w:type="band1Vert">
      <w:tblPr/>
      <w:tcPr>
        <w:tcBorders>
          <w:top w:val="nil"/>
          <w:left w:val="nil"/>
          <w:bottom w:val="nil"/>
          <w:right w:val="nil"/>
          <w:insideH w:val="nil"/>
          <w:insideV w:val="nil"/>
        </w:tcBorders>
        <w:shd w:val="clear" w:color="auto" w:fill="7F0338" w:themeFill="accent3" w:themeFillShade="BF"/>
      </w:tcPr>
    </w:tblStylePr>
    <w:tblStylePr w:type="band1Horz">
      <w:tblPr/>
      <w:tcPr>
        <w:tcBorders>
          <w:top w:val="nil"/>
          <w:left w:val="nil"/>
          <w:bottom w:val="nil"/>
          <w:right w:val="nil"/>
          <w:insideH w:val="nil"/>
          <w:insideV w:val="nil"/>
        </w:tcBorders>
        <w:shd w:val="clear" w:color="auto" w:fill="7F0338" w:themeFill="accent3" w:themeFillShade="BF"/>
      </w:tcPr>
    </w:tblStylePr>
  </w:style>
  <w:style w:type="table" w:styleId="DarkList-Accent4">
    <w:name w:val="Dark List Accent 4"/>
    <w:basedOn w:val="TableNormal"/>
    <w:uiPriority w:val="70"/>
    <w:pPr>
      <w:spacing w:after="0"/>
    </w:pPr>
    <w:rPr>
      <w:color w:val="FFFFFF" w:themeColor="background1"/>
    </w:rPr>
    <w:tblPr>
      <w:tblStyleRowBandSize w:val="1"/>
      <w:tblStyleColBandSize w:val="1"/>
    </w:tblPr>
    <w:tcPr>
      <w:shd w:val="clear" w:color="auto" w:fill="FFE7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F20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6D6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6D6D" w:themeFill="accent4" w:themeFillShade="BF"/>
      </w:tcPr>
    </w:tblStylePr>
    <w:tblStylePr w:type="band1Vert">
      <w:tblPr/>
      <w:tcPr>
        <w:tcBorders>
          <w:top w:val="nil"/>
          <w:left w:val="nil"/>
          <w:bottom w:val="nil"/>
          <w:right w:val="nil"/>
          <w:insideH w:val="nil"/>
          <w:insideV w:val="nil"/>
        </w:tcBorders>
        <w:shd w:val="clear" w:color="auto" w:fill="FF6D6D" w:themeFill="accent4" w:themeFillShade="BF"/>
      </w:tcPr>
    </w:tblStylePr>
    <w:tblStylePr w:type="band1Horz">
      <w:tblPr/>
      <w:tcPr>
        <w:tcBorders>
          <w:top w:val="nil"/>
          <w:left w:val="nil"/>
          <w:bottom w:val="nil"/>
          <w:right w:val="nil"/>
          <w:insideH w:val="nil"/>
          <w:insideV w:val="nil"/>
        </w:tcBorders>
        <w:shd w:val="clear" w:color="auto" w:fill="FF6D6D" w:themeFill="accent4" w:themeFillShade="BF"/>
      </w:tcPr>
    </w:tblStylePr>
  </w:style>
  <w:style w:type="table" w:styleId="DarkList-Accent5">
    <w:name w:val="Dark List Accent 5"/>
    <w:basedOn w:val="TableNormal"/>
    <w:uiPriority w:val="70"/>
    <w:pPr>
      <w:spacing w:after="0"/>
    </w:pPr>
    <w:rPr>
      <w:color w:val="FFFFFF" w:themeColor="background1"/>
    </w:rPr>
    <w:tblPr>
      <w:tblStyleRowBandSize w:val="1"/>
      <w:tblStyleColBandSize w:val="1"/>
    </w:tblPr>
    <w:tcPr>
      <w:shd w:val="clear" w:color="auto" w:fill="FEDA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E4061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B66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B6672" w:themeFill="accent5" w:themeFillShade="BF"/>
      </w:tcPr>
    </w:tblStylePr>
    <w:tblStylePr w:type="band1Vert">
      <w:tblPr/>
      <w:tcPr>
        <w:tcBorders>
          <w:top w:val="nil"/>
          <w:left w:val="nil"/>
          <w:bottom w:val="nil"/>
          <w:right w:val="nil"/>
          <w:insideH w:val="nil"/>
          <w:insideV w:val="nil"/>
        </w:tcBorders>
        <w:shd w:val="clear" w:color="auto" w:fill="FB6672" w:themeFill="accent5" w:themeFillShade="BF"/>
      </w:tcPr>
    </w:tblStylePr>
    <w:tblStylePr w:type="band1Horz">
      <w:tblPr/>
      <w:tcPr>
        <w:tcBorders>
          <w:top w:val="nil"/>
          <w:left w:val="nil"/>
          <w:bottom w:val="nil"/>
          <w:right w:val="nil"/>
          <w:insideH w:val="nil"/>
          <w:insideV w:val="nil"/>
        </w:tcBorders>
        <w:shd w:val="clear" w:color="auto" w:fill="FB6672" w:themeFill="accent5" w:themeFillShade="BF"/>
      </w:tcPr>
    </w:tblStylePr>
  </w:style>
  <w:style w:type="table" w:styleId="DarkList-Accent6">
    <w:name w:val="Dark List Accent 6"/>
    <w:basedOn w:val="TableNormal"/>
    <w:uiPriority w:val="70"/>
    <w:pPr>
      <w:spacing w:after="0"/>
    </w:pPr>
    <w:rPr>
      <w:color w:val="FFFFFF" w:themeColor="background1"/>
    </w:rPr>
    <w:tblPr>
      <w:tblStyleRowBandSize w:val="1"/>
      <w:tblStyleColBandSize w:val="1"/>
    </w:tblPr>
    <w:tcPr>
      <w:shd w:val="clear" w:color="auto" w:fill="70001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37000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000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000F" w:themeFill="accent6" w:themeFillShade="BF"/>
      </w:tcPr>
    </w:tblStylePr>
    <w:tblStylePr w:type="band1Vert">
      <w:tblPr/>
      <w:tcPr>
        <w:tcBorders>
          <w:top w:val="nil"/>
          <w:left w:val="nil"/>
          <w:bottom w:val="nil"/>
          <w:right w:val="nil"/>
          <w:insideH w:val="nil"/>
          <w:insideV w:val="nil"/>
        </w:tcBorders>
        <w:shd w:val="clear" w:color="auto" w:fill="53000F" w:themeFill="accent6" w:themeFillShade="BF"/>
      </w:tcPr>
    </w:tblStylePr>
    <w:tblStylePr w:type="band1Horz">
      <w:tblPr/>
      <w:tcPr>
        <w:tcBorders>
          <w:top w:val="nil"/>
          <w:left w:val="nil"/>
          <w:bottom w:val="nil"/>
          <w:right w:val="nil"/>
          <w:insideH w:val="nil"/>
          <w:insideV w:val="nil"/>
        </w:tcBorders>
        <w:shd w:val="clear" w:color="auto" w:fill="53000F"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B054C"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B81DAB"/>
    <w:rPr>
      <w:rFonts w:ascii="Arial Bold" w:eastAsia="Calibri" w:hAnsi="Arial Bold"/>
      <w:b/>
      <w:bCs/>
      <w:color w:val="auto"/>
      <w:sz w:val="28"/>
      <w:u w:val="none"/>
      <w14:ligatures w14:val="standardContextual"/>
    </w:rPr>
  </w:style>
  <w:style w:type="character" w:customStyle="1" w:styleId="Heading4Char">
    <w:name w:val="Heading 4 Char"/>
    <w:basedOn w:val="DefaultParagraphFont"/>
    <w:link w:val="Heading4"/>
    <w:uiPriority w:val="18"/>
    <w:rsid w:val="00043C2B"/>
    <w:rPr>
      <w:rFonts w:asciiTheme="minorHAnsi" w:eastAsiaTheme="majorEastAsia" w:hAnsiTheme="minorHAnsi" w:cstheme="majorBidi"/>
      <w:bCs/>
      <w:iCs/>
      <w:color w:val="FFFFFF" w:themeColor="background1"/>
      <w:sz w:val="36"/>
      <w:u w:val="none"/>
      <w:shd w:val="clear" w:color="auto" w:fill="AB054C"/>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440016"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440016"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FFFFFF"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FFFFFF"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FFFFFF"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sid w:val="005B394F"/>
    <w:rPr>
      <w:rFonts w:ascii="Arial" w:hAnsi="Arial"/>
      <w:i w:val="0"/>
      <w:color w:val="0070C0"/>
      <w:sz w:val="22"/>
      <w:u w:val="single"/>
    </w:rPr>
  </w:style>
  <w:style w:type="paragraph" w:styleId="Index1">
    <w:name w:val="index 1"/>
    <w:basedOn w:val="Normal"/>
    <w:next w:val="Normal"/>
    <w:autoRedefine/>
    <w:uiPriority w:val="99"/>
    <w:semiHidden/>
    <w:unhideWhenUsed/>
    <w:pPr>
      <w:spacing w:after="0"/>
      <w:ind w:left="220" w:hanging="220"/>
    </w:pPr>
  </w:style>
  <w:style w:type="paragraph" w:styleId="Index2">
    <w:name w:val="index 2"/>
    <w:basedOn w:val="Normal"/>
    <w:next w:val="Normal"/>
    <w:autoRedefine/>
    <w:uiPriority w:val="99"/>
    <w:semiHidden/>
    <w:unhideWhenUsed/>
    <w:pPr>
      <w:spacing w:after="0"/>
      <w:ind w:left="440" w:hanging="220"/>
    </w:pPr>
  </w:style>
  <w:style w:type="paragraph" w:styleId="Index3">
    <w:name w:val="index 3"/>
    <w:basedOn w:val="Normal"/>
    <w:next w:val="Normal"/>
    <w:autoRedefine/>
    <w:uiPriority w:val="99"/>
    <w:semiHidden/>
    <w:unhideWhenUsed/>
    <w:pPr>
      <w:spacing w:after="0"/>
      <w:ind w:left="660" w:hanging="220"/>
    </w:pPr>
  </w:style>
  <w:style w:type="paragraph" w:styleId="Index4">
    <w:name w:val="index 4"/>
    <w:basedOn w:val="Normal"/>
    <w:next w:val="Normal"/>
    <w:autoRedefine/>
    <w:uiPriority w:val="99"/>
    <w:semiHidden/>
    <w:unhideWhenUsed/>
    <w:pPr>
      <w:spacing w:after="0"/>
      <w:ind w:left="880" w:hanging="220"/>
    </w:pPr>
  </w:style>
  <w:style w:type="paragraph" w:styleId="Index5">
    <w:name w:val="index 5"/>
    <w:basedOn w:val="Normal"/>
    <w:next w:val="Normal"/>
    <w:autoRedefine/>
    <w:uiPriority w:val="99"/>
    <w:semiHidden/>
    <w:unhideWhenUsed/>
    <w:pPr>
      <w:spacing w:after="0"/>
      <w:ind w:left="1100" w:hanging="220"/>
    </w:pPr>
  </w:style>
  <w:style w:type="paragraph" w:styleId="Index6">
    <w:name w:val="index 6"/>
    <w:basedOn w:val="Normal"/>
    <w:next w:val="Normal"/>
    <w:autoRedefine/>
    <w:uiPriority w:val="99"/>
    <w:semiHidden/>
    <w:unhideWhenUsed/>
    <w:pPr>
      <w:spacing w:after="0"/>
      <w:ind w:left="1320" w:hanging="220"/>
    </w:pPr>
  </w:style>
  <w:style w:type="paragraph" w:styleId="Index7">
    <w:name w:val="index 7"/>
    <w:basedOn w:val="Normal"/>
    <w:next w:val="Normal"/>
    <w:autoRedefine/>
    <w:uiPriority w:val="99"/>
    <w:semiHidden/>
    <w:unhideWhenUsed/>
    <w:pPr>
      <w:spacing w:after="0"/>
      <w:ind w:left="1540" w:hanging="220"/>
    </w:pPr>
  </w:style>
  <w:style w:type="paragraph" w:styleId="Index8">
    <w:name w:val="index 8"/>
    <w:basedOn w:val="Normal"/>
    <w:next w:val="Normal"/>
    <w:autoRedefine/>
    <w:uiPriority w:val="99"/>
    <w:semiHidden/>
    <w:unhideWhenUsed/>
    <w:pPr>
      <w:spacing w:after="0"/>
      <w:ind w:left="1760" w:hanging="220"/>
    </w:pPr>
  </w:style>
  <w:style w:type="paragraph" w:styleId="Index9">
    <w:name w:val="index 9"/>
    <w:basedOn w:val="Normal"/>
    <w:next w:val="Normal"/>
    <w:autoRedefine/>
    <w:uiPriority w:val="99"/>
    <w:semiHidden/>
    <w:unhideWhenUsed/>
    <w:pPr>
      <w:spacing w:after="0"/>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8A002E" w:themeColor="accent1"/>
    </w:rPr>
  </w:style>
  <w:style w:type="paragraph" w:styleId="IntenseQuote">
    <w:name w:val="Intense Quote"/>
    <w:basedOn w:val="Normal"/>
    <w:next w:val="Normal"/>
    <w:link w:val="IntenseQuoteChar"/>
    <w:uiPriority w:val="30"/>
    <w:semiHidden/>
    <w:unhideWhenUsed/>
    <w:pPr>
      <w:pBdr>
        <w:bottom w:val="single" w:sz="4" w:space="4" w:color="8A002E" w:themeColor="accent1"/>
      </w:pBdr>
      <w:spacing w:before="200" w:after="280"/>
      <w:ind w:left="936" w:right="936"/>
    </w:pPr>
    <w:rPr>
      <w:b/>
      <w:bCs/>
      <w:i/>
      <w:iCs/>
      <w:color w:val="8A002E" w:themeColor="accent1"/>
    </w:rPr>
  </w:style>
  <w:style w:type="character" w:customStyle="1" w:styleId="IntenseQuoteChar">
    <w:name w:val="Intense Quote Char"/>
    <w:basedOn w:val="DefaultParagraphFont"/>
    <w:link w:val="IntenseQuote"/>
    <w:uiPriority w:val="30"/>
    <w:semiHidden/>
    <w:rPr>
      <w:b/>
      <w:bCs/>
      <w:i/>
      <w:iCs/>
      <w:color w:val="8A002E" w:themeColor="accent1"/>
    </w:rPr>
  </w:style>
  <w:style w:type="character" w:styleId="IntenseReference">
    <w:name w:val="Intense Reference"/>
    <w:basedOn w:val="DefaultParagraphFont"/>
    <w:uiPriority w:val="32"/>
    <w:semiHidden/>
    <w:unhideWhenUsed/>
    <w:rPr>
      <w:b/>
      <w:bCs/>
      <w:smallCaps/>
      <w:color w:val="960443" w:themeColor="accent2"/>
      <w:spacing w:val="5"/>
      <w:u w:val="single"/>
    </w:rPr>
  </w:style>
  <w:style w:type="table" w:styleId="LightGrid">
    <w:name w:val="Light Grid"/>
    <w:basedOn w:val="TableNormal"/>
    <w:uiPriority w:val="62"/>
    <w:pPr>
      <w:spacing w:after="0"/>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18" w:space="0" w:color="FFFFFF" w:themeColor="text1"/>
          <w:right w:val="single" w:sz="8" w:space="0" w:color="FFFFFF" w:themeColor="text1"/>
          <w:insideH w:val="nil"/>
          <w:insideV w:val="single" w:sz="8" w:space="0" w:color="FFFFF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insideH w:val="nil"/>
          <w:insideV w:val="single" w:sz="8" w:space="0" w:color="FFFFF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shd w:val="clear" w:color="auto" w:fill="FFFFFF" w:themeFill="text1" w:themeFillTint="3F"/>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shd w:val="clear" w:color="auto" w:fill="FFFFFF" w:themeFill="text1" w:themeFillTint="3F"/>
      </w:tcPr>
    </w:tblStylePr>
    <w:tblStylePr w:type="band2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tcPr>
    </w:tblStylePr>
  </w:style>
  <w:style w:type="table" w:styleId="LightGrid-Accent1">
    <w:name w:val="Light Grid Accent 1"/>
    <w:basedOn w:val="TableNormal"/>
    <w:uiPriority w:val="62"/>
    <w:pPr>
      <w:spacing w:after="0"/>
    </w:pPr>
    <w:tblPr>
      <w:tblStyleRowBandSize w:val="1"/>
      <w:tblStyleColBandSize w:val="1"/>
      <w:tblBorders>
        <w:top w:val="single" w:sz="8" w:space="0" w:color="8A002E" w:themeColor="accent1"/>
        <w:left w:val="single" w:sz="8" w:space="0" w:color="8A002E" w:themeColor="accent1"/>
        <w:bottom w:val="single" w:sz="8" w:space="0" w:color="8A002E" w:themeColor="accent1"/>
        <w:right w:val="single" w:sz="8" w:space="0" w:color="8A002E" w:themeColor="accent1"/>
        <w:insideH w:val="single" w:sz="8" w:space="0" w:color="8A002E" w:themeColor="accent1"/>
        <w:insideV w:val="single" w:sz="8" w:space="0" w:color="8A00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002E" w:themeColor="accent1"/>
          <w:left w:val="single" w:sz="8" w:space="0" w:color="8A002E" w:themeColor="accent1"/>
          <w:bottom w:val="single" w:sz="18" w:space="0" w:color="8A002E" w:themeColor="accent1"/>
          <w:right w:val="single" w:sz="8" w:space="0" w:color="8A002E" w:themeColor="accent1"/>
          <w:insideH w:val="nil"/>
          <w:insideV w:val="single" w:sz="8" w:space="0" w:color="8A00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002E" w:themeColor="accent1"/>
          <w:left w:val="single" w:sz="8" w:space="0" w:color="8A002E" w:themeColor="accent1"/>
          <w:bottom w:val="single" w:sz="8" w:space="0" w:color="8A002E" w:themeColor="accent1"/>
          <w:right w:val="single" w:sz="8" w:space="0" w:color="8A002E" w:themeColor="accent1"/>
          <w:insideH w:val="nil"/>
          <w:insideV w:val="single" w:sz="8" w:space="0" w:color="8A00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002E" w:themeColor="accent1"/>
          <w:left w:val="single" w:sz="8" w:space="0" w:color="8A002E" w:themeColor="accent1"/>
          <w:bottom w:val="single" w:sz="8" w:space="0" w:color="8A002E" w:themeColor="accent1"/>
          <w:right w:val="single" w:sz="8" w:space="0" w:color="8A002E" w:themeColor="accent1"/>
        </w:tcBorders>
      </w:tcPr>
    </w:tblStylePr>
    <w:tblStylePr w:type="band1Vert">
      <w:tblPr/>
      <w:tcPr>
        <w:tcBorders>
          <w:top w:val="single" w:sz="8" w:space="0" w:color="8A002E" w:themeColor="accent1"/>
          <w:left w:val="single" w:sz="8" w:space="0" w:color="8A002E" w:themeColor="accent1"/>
          <w:bottom w:val="single" w:sz="8" w:space="0" w:color="8A002E" w:themeColor="accent1"/>
          <w:right w:val="single" w:sz="8" w:space="0" w:color="8A002E" w:themeColor="accent1"/>
        </w:tcBorders>
        <w:shd w:val="clear" w:color="auto" w:fill="FFA3C1" w:themeFill="accent1" w:themeFillTint="3F"/>
      </w:tcPr>
    </w:tblStylePr>
    <w:tblStylePr w:type="band1Horz">
      <w:tblPr/>
      <w:tcPr>
        <w:tcBorders>
          <w:top w:val="single" w:sz="8" w:space="0" w:color="8A002E" w:themeColor="accent1"/>
          <w:left w:val="single" w:sz="8" w:space="0" w:color="8A002E" w:themeColor="accent1"/>
          <w:bottom w:val="single" w:sz="8" w:space="0" w:color="8A002E" w:themeColor="accent1"/>
          <w:right w:val="single" w:sz="8" w:space="0" w:color="8A002E" w:themeColor="accent1"/>
          <w:insideV w:val="single" w:sz="8" w:space="0" w:color="8A002E" w:themeColor="accent1"/>
        </w:tcBorders>
        <w:shd w:val="clear" w:color="auto" w:fill="FFA3C1" w:themeFill="accent1" w:themeFillTint="3F"/>
      </w:tcPr>
    </w:tblStylePr>
    <w:tblStylePr w:type="band2Horz">
      <w:tblPr/>
      <w:tcPr>
        <w:tcBorders>
          <w:top w:val="single" w:sz="8" w:space="0" w:color="8A002E" w:themeColor="accent1"/>
          <w:left w:val="single" w:sz="8" w:space="0" w:color="8A002E" w:themeColor="accent1"/>
          <w:bottom w:val="single" w:sz="8" w:space="0" w:color="8A002E" w:themeColor="accent1"/>
          <w:right w:val="single" w:sz="8" w:space="0" w:color="8A002E" w:themeColor="accent1"/>
          <w:insideV w:val="single" w:sz="8" w:space="0" w:color="8A002E" w:themeColor="accent1"/>
        </w:tcBorders>
      </w:tcPr>
    </w:tblStylePr>
  </w:style>
  <w:style w:type="table" w:styleId="LightGrid-Accent2">
    <w:name w:val="Light Grid Accent 2"/>
    <w:basedOn w:val="TableNormal"/>
    <w:uiPriority w:val="62"/>
    <w:pPr>
      <w:spacing w:after="0"/>
    </w:pPr>
    <w:tblPr>
      <w:tblStyleRowBandSize w:val="1"/>
      <w:tblStyleColBandSize w:val="1"/>
      <w:tblBorders>
        <w:top w:val="single" w:sz="8" w:space="0" w:color="960443" w:themeColor="accent2"/>
        <w:left w:val="single" w:sz="8" w:space="0" w:color="960443" w:themeColor="accent2"/>
        <w:bottom w:val="single" w:sz="8" w:space="0" w:color="960443" w:themeColor="accent2"/>
        <w:right w:val="single" w:sz="8" w:space="0" w:color="960443" w:themeColor="accent2"/>
        <w:insideH w:val="single" w:sz="8" w:space="0" w:color="960443" w:themeColor="accent2"/>
        <w:insideV w:val="single" w:sz="8" w:space="0" w:color="96044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0443" w:themeColor="accent2"/>
          <w:left w:val="single" w:sz="8" w:space="0" w:color="960443" w:themeColor="accent2"/>
          <w:bottom w:val="single" w:sz="18" w:space="0" w:color="960443" w:themeColor="accent2"/>
          <w:right w:val="single" w:sz="8" w:space="0" w:color="960443" w:themeColor="accent2"/>
          <w:insideH w:val="nil"/>
          <w:insideV w:val="single" w:sz="8" w:space="0" w:color="96044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0443" w:themeColor="accent2"/>
          <w:left w:val="single" w:sz="8" w:space="0" w:color="960443" w:themeColor="accent2"/>
          <w:bottom w:val="single" w:sz="8" w:space="0" w:color="960443" w:themeColor="accent2"/>
          <w:right w:val="single" w:sz="8" w:space="0" w:color="960443" w:themeColor="accent2"/>
          <w:insideH w:val="nil"/>
          <w:insideV w:val="single" w:sz="8" w:space="0" w:color="96044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0443" w:themeColor="accent2"/>
          <w:left w:val="single" w:sz="8" w:space="0" w:color="960443" w:themeColor="accent2"/>
          <w:bottom w:val="single" w:sz="8" w:space="0" w:color="960443" w:themeColor="accent2"/>
          <w:right w:val="single" w:sz="8" w:space="0" w:color="960443" w:themeColor="accent2"/>
        </w:tcBorders>
      </w:tcPr>
    </w:tblStylePr>
    <w:tblStylePr w:type="band1Vert">
      <w:tblPr/>
      <w:tcPr>
        <w:tcBorders>
          <w:top w:val="single" w:sz="8" w:space="0" w:color="960443" w:themeColor="accent2"/>
          <w:left w:val="single" w:sz="8" w:space="0" w:color="960443" w:themeColor="accent2"/>
          <w:bottom w:val="single" w:sz="8" w:space="0" w:color="960443" w:themeColor="accent2"/>
          <w:right w:val="single" w:sz="8" w:space="0" w:color="960443" w:themeColor="accent2"/>
        </w:tcBorders>
        <w:shd w:val="clear" w:color="auto" w:fill="FCA9CD" w:themeFill="accent2" w:themeFillTint="3F"/>
      </w:tcPr>
    </w:tblStylePr>
    <w:tblStylePr w:type="band1Horz">
      <w:tblPr/>
      <w:tcPr>
        <w:tcBorders>
          <w:top w:val="single" w:sz="8" w:space="0" w:color="960443" w:themeColor="accent2"/>
          <w:left w:val="single" w:sz="8" w:space="0" w:color="960443" w:themeColor="accent2"/>
          <w:bottom w:val="single" w:sz="8" w:space="0" w:color="960443" w:themeColor="accent2"/>
          <w:right w:val="single" w:sz="8" w:space="0" w:color="960443" w:themeColor="accent2"/>
          <w:insideV w:val="single" w:sz="8" w:space="0" w:color="960443" w:themeColor="accent2"/>
        </w:tcBorders>
        <w:shd w:val="clear" w:color="auto" w:fill="FCA9CD" w:themeFill="accent2" w:themeFillTint="3F"/>
      </w:tcPr>
    </w:tblStylePr>
    <w:tblStylePr w:type="band2Horz">
      <w:tblPr/>
      <w:tcPr>
        <w:tcBorders>
          <w:top w:val="single" w:sz="8" w:space="0" w:color="960443" w:themeColor="accent2"/>
          <w:left w:val="single" w:sz="8" w:space="0" w:color="960443" w:themeColor="accent2"/>
          <w:bottom w:val="single" w:sz="8" w:space="0" w:color="960443" w:themeColor="accent2"/>
          <w:right w:val="single" w:sz="8" w:space="0" w:color="960443" w:themeColor="accent2"/>
          <w:insideV w:val="single" w:sz="8" w:space="0" w:color="960443" w:themeColor="accent2"/>
        </w:tcBorders>
      </w:tcPr>
    </w:tblStylePr>
  </w:style>
  <w:style w:type="table" w:styleId="LightGrid-Accent3">
    <w:name w:val="Light Grid Accent 3"/>
    <w:basedOn w:val="TableNormal"/>
    <w:uiPriority w:val="62"/>
    <w:pPr>
      <w:spacing w:after="0"/>
    </w:pPr>
    <w:tblPr>
      <w:tblStyleRowBandSize w:val="1"/>
      <w:tblStyleColBandSize w:val="1"/>
      <w:tblBorders>
        <w:top w:val="single" w:sz="8" w:space="0" w:color="AB054C" w:themeColor="accent3"/>
        <w:left w:val="single" w:sz="8" w:space="0" w:color="AB054C" w:themeColor="accent3"/>
        <w:bottom w:val="single" w:sz="8" w:space="0" w:color="AB054C" w:themeColor="accent3"/>
        <w:right w:val="single" w:sz="8" w:space="0" w:color="AB054C" w:themeColor="accent3"/>
        <w:insideH w:val="single" w:sz="8" w:space="0" w:color="AB054C" w:themeColor="accent3"/>
        <w:insideV w:val="single" w:sz="8" w:space="0" w:color="AB054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054C" w:themeColor="accent3"/>
          <w:left w:val="single" w:sz="8" w:space="0" w:color="AB054C" w:themeColor="accent3"/>
          <w:bottom w:val="single" w:sz="18" w:space="0" w:color="AB054C" w:themeColor="accent3"/>
          <w:right w:val="single" w:sz="8" w:space="0" w:color="AB054C" w:themeColor="accent3"/>
          <w:insideH w:val="nil"/>
          <w:insideV w:val="single" w:sz="8" w:space="0" w:color="AB054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054C" w:themeColor="accent3"/>
          <w:left w:val="single" w:sz="8" w:space="0" w:color="AB054C" w:themeColor="accent3"/>
          <w:bottom w:val="single" w:sz="8" w:space="0" w:color="AB054C" w:themeColor="accent3"/>
          <w:right w:val="single" w:sz="8" w:space="0" w:color="AB054C" w:themeColor="accent3"/>
          <w:insideH w:val="nil"/>
          <w:insideV w:val="single" w:sz="8" w:space="0" w:color="AB054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054C" w:themeColor="accent3"/>
          <w:left w:val="single" w:sz="8" w:space="0" w:color="AB054C" w:themeColor="accent3"/>
          <w:bottom w:val="single" w:sz="8" w:space="0" w:color="AB054C" w:themeColor="accent3"/>
          <w:right w:val="single" w:sz="8" w:space="0" w:color="AB054C" w:themeColor="accent3"/>
        </w:tcBorders>
      </w:tcPr>
    </w:tblStylePr>
    <w:tblStylePr w:type="band1Vert">
      <w:tblPr/>
      <w:tcPr>
        <w:tcBorders>
          <w:top w:val="single" w:sz="8" w:space="0" w:color="AB054C" w:themeColor="accent3"/>
          <w:left w:val="single" w:sz="8" w:space="0" w:color="AB054C" w:themeColor="accent3"/>
          <w:bottom w:val="single" w:sz="8" w:space="0" w:color="AB054C" w:themeColor="accent3"/>
          <w:right w:val="single" w:sz="8" w:space="0" w:color="AB054C" w:themeColor="accent3"/>
        </w:tcBorders>
        <w:shd w:val="clear" w:color="auto" w:fill="FCAED0" w:themeFill="accent3" w:themeFillTint="3F"/>
      </w:tcPr>
    </w:tblStylePr>
    <w:tblStylePr w:type="band1Horz">
      <w:tblPr/>
      <w:tcPr>
        <w:tcBorders>
          <w:top w:val="single" w:sz="8" w:space="0" w:color="AB054C" w:themeColor="accent3"/>
          <w:left w:val="single" w:sz="8" w:space="0" w:color="AB054C" w:themeColor="accent3"/>
          <w:bottom w:val="single" w:sz="8" w:space="0" w:color="AB054C" w:themeColor="accent3"/>
          <w:right w:val="single" w:sz="8" w:space="0" w:color="AB054C" w:themeColor="accent3"/>
          <w:insideV w:val="single" w:sz="8" w:space="0" w:color="AB054C" w:themeColor="accent3"/>
        </w:tcBorders>
        <w:shd w:val="clear" w:color="auto" w:fill="FCAED0" w:themeFill="accent3" w:themeFillTint="3F"/>
      </w:tcPr>
    </w:tblStylePr>
    <w:tblStylePr w:type="band2Horz">
      <w:tblPr/>
      <w:tcPr>
        <w:tcBorders>
          <w:top w:val="single" w:sz="8" w:space="0" w:color="AB054C" w:themeColor="accent3"/>
          <w:left w:val="single" w:sz="8" w:space="0" w:color="AB054C" w:themeColor="accent3"/>
          <w:bottom w:val="single" w:sz="8" w:space="0" w:color="AB054C" w:themeColor="accent3"/>
          <w:right w:val="single" w:sz="8" w:space="0" w:color="AB054C" w:themeColor="accent3"/>
          <w:insideV w:val="single" w:sz="8" w:space="0" w:color="AB054C" w:themeColor="accent3"/>
        </w:tcBorders>
      </w:tcPr>
    </w:tblStylePr>
  </w:style>
  <w:style w:type="table" w:styleId="LightGrid-Accent4">
    <w:name w:val="Light Grid Accent 4"/>
    <w:basedOn w:val="TableNormal"/>
    <w:uiPriority w:val="62"/>
    <w:pPr>
      <w:spacing w:after="0"/>
    </w:pPr>
    <w:tblPr>
      <w:tblStyleRowBandSize w:val="1"/>
      <w:tblStyleColBandSize w:val="1"/>
      <w:tblBorders>
        <w:top w:val="single" w:sz="8" w:space="0" w:color="FFE7E7" w:themeColor="accent4"/>
        <w:left w:val="single" w:sz="8" w:space="0" w:color="FFE7E7" w:themeColor="accent4"/>
        <w:bottom w:val="single" w:sz="8" w:space="0" w:color="FFE7E7" w:themeColor="accent4"/>
        <w:right w:val="single" w:sz="8" w:space="0" w:color="FFE7E7" w:themeColor="accent4"/>
        <w:insideH w:val="single" w:sz="8" w:space="0" w:color="FFE7E7" w:themeColor="accent4"/>
        <w:insideV w:val="single" w:sz="8" w:space="0" w:color="FFE7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E7" w:themeColor="accent4"/>
          <w:left w:val="single" w:sz="8" w:space="0" w:color="FFE7E7" w:themeColor="accent4"/>
          <w:bottom w:val="single" w:sz="18" w:space="0" w:color="FFE7E7" w:themeColor="accent4"/>
          <w:right w:val="single" w:sz="8" w:space="0" w:color="FFE7E7" w:themeColor="accent4"/>
          <w:insideH w:val="nil"/>
          <w:insideV w:val="single" w:sz="8" w:space="0" w:color="FFE7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E7" w:themeColor="accent4"/>
          <w:left w:val="single" w:sz="8" w:space="0" w:color="FFE7E7" w:themeColor="accent4"/>
          <w:bottom w:val="single" w:sz="8" w:space="0" w:color="FFE7E7" w:themeColor="accent4"/>
          <w:right w:val="single" w:sz="8" w:space="0" w:color="FFE7E7" w:themeColor="accent4"/>
          <w:insideH w:val="nil"/>
          <w:insideV w:val="single" w:sz="8" w:space="0" w:color="FFE7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E7" w:themeColor="accent4"/>
          <w:left w:val="single" w:sz="8" w:space="0" w:color="FFE7E7" w:themeColor="accent4"/>
          <w:bottom w:val="single" w:sz="8" w:space="0" w:color="FFE7E7" w:themeColor="accent4"/>
          <w:right w:val="single" w:sz="8" w:space="0" w:color="FFE7E7" w:themeColor="accent4"/>
        </w:tcBorders>
      </w:tcPr>
    </w:tblStylePr>
    <w:tblStylePr w:type="band1Vert">
      <w:tblPr/>
      <w:tcPr>
        <w:tcBorders>
          <w:top w:val="single" w:sz="8" w:space="0" w:color="FFE7E7" w:themeColor="accent4"/>
          <w:left w:val="single" w:sz="8" w:space="0" w:color="FFE7E7" w:themeColor="accent4"/>
          <w:bottom w:val="single" w:sz="8" w:space="0" w:color="FFE7E7" w:themeColor="accent4"/>
          <w:right w:val="single" w:sz="8" w:space="0" w:color="FFE7E7" w:themeColor="accent4"/>
        </w:tcBorders>
        <w:shd w:val="clear" w:color="auto" w:fill="FFF9F9" w:themeFill="accent4" w:themeFillTint="3F"/>
      </w:tcPr>
    </w:tblStylePr>
    <w:tblStylePr w:type="band1Horz">
      <w:tblPr/>
      <w:tcPr>
        <w:tcBorders>
          <w:top w:val="single" w:sz="8" w:space="0" w:color="FFE7E7" w:themeColor="accent4"/>
          <w:left w:val="single" w:sz="8" w:space="0" w:color="FFE7E7" w:themeColor="accent4"/>
          <w:bottom w:val="single" w:sz="8" w:space="0" w:color="FFE7E7" w:themeColor="accent4"/>
          <w:right w:val="single" w:sz="8" w:space="0" w:color="FFE7E7" w:themeColor="accent4"/>
          <w:insideV w:val="single" w:sz="8" w:space="0" w:color="FFE7E7" w:themeColor="accent4"/>
        </w:tcBorders>
        <w:shd w:val="clear" w:color="auto" w:fill="FFF9F9" w:themeFill="accent4" w:themeFillTint="3F"/>
      </w:tcPr>
    </w:tblStylePr>
    <w:tblStylePr w:type="band2Horz">
      <w:tblPr/>
      <w:tcPr>
        <w:tcBorders>
          <w:top w:val="single" w:sz="8" w:space="0" w:color="FFE7E7" w:themeColor="accent4"/>
          <w:left w:val="single" w:sz="8" w:space="0" w:color="FFE7E7" w:themeColor="accent4"/>
          <w:bottom w:val="single" w:sz="8" w:space="0" w:color="FFE7E7" w:themeColor="accent4"/>
          <w:right w:val="single" w:sz="8" w:space="0" w:color="FFE7E7" w:themeColor="accent4"/>
          <w:insideV w:val="single" w:sz="8" w:space="0" w:color="FFE7E7" w:themeColor="accent4"/>
        </w:tcBorders>
      </w:tcPr>
    </w:tblStylePr>
  </w:style>
  <w:style w:type="table" w:styleId="LightGrid-Accent5">
    <w:name w:val="Light Grid Accent 5"/>
    <w:basedOn w:val="TableNormal"/>
    <w:uiPriority w:val="62"/>
    <w:pPr>
      <w:spacing w:after="0"/>
    </w:pPr>
    <w:tblPr>
      <w:tblStyleRowBandSize w:val="1"/>
      <w:tblStyleColBandSize w:val="1"/>
      <w:tblBorders>
        <w:top w:val="single" w:sz="8" w:space="0" w:color="FEDADD" w:themeColor="accent5"/>
        <w:left w:val="single" w:sz="8" w:space="0" w:color="FEDADD" w:themeColor="accent5"/>
        <w:bottom w:val="single" w:sz="8" w:space="0" w:color="FEDADD" w:themeColor="accent5"/>
        <w:right w:val="single" w:sz="8" w:space="0" w:color="FEDADD" w:themeColor="accent5"/>
        <w:insideH w:val="single" w:sz="8" w:space="0" w:color="FEDADD" w:themeColor="accent5"/>
        <w:insideV w:val="single" w:sz="8" w:space="0" w:color="FEDA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DD" w:themeColor="accent5"/>
          <w:left w:val="single" w:sz="8" w:space="0" w:color="FEDADD" w:themeColor="accent5"/>
          <w:bottom w:val="single" w:sz="18" w:space="0" w:color="FEDADD" w:themeColor="accent5"/>
          <w:right w:val="single" w:sz="8" w:space="0" w:color="FEDADD" w:themeColor="accent5"/>
          <w:insideH w:val="nil"/>
          <w:insideV w:val="single" w:sz="8" w:space="0" w:color="FEDA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DD" w:themeColor="accent5"/>
          <w:left w:val="single" w:sz="8" w:space="0" w:color="FEDADD" w:themeColor="accent5"/>
          <w:bottom w:val="single" w:sz="8" w:space="0" w:color="FEDADD" w:themeColor="accent5"/>
          <w:right w:val="single" w:sz="8" w:space="0" w:color="FEDADD" w:themeColor="accent5"/>
          <w:insideH w:val="nil"/>
          <w:insideV w:val="single" w:sz="8" w:space="0" w:color="FEDA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DD" w:themeColor="accent5"/>
          <w:left w:val="single" w:sz="8" w:space="0" w:color="FEDADD" w:themeColor="accent5"/>
          <w:bottom w:val="single" w:sz="8" w:space="0" w:color="FEDADD" w:themeColor="accent5"/>
          <w:right w:val="single" w:sz="8" w:space="0" w:color="FEDADD" w:themeColor="accent5"/>
        </w:tcBorders>
      </w:tcPr>
    </w:tblStylePr>
    <w:tblStylePr w:type="band1Vert">
      <w:tblPr/>
      <w:tcPr>
        <w:tcBorders>
          <w:top w:val="single" w:sz="8" w:space="0" w:color="FEDADD" w:themeColor="accent5"/>
          <w:left w:val="single" w:sz="8" w:space="0" w:color="FEDADD" w:themeColor="accent5"/>
          <w:bottom w:val="single" w:sz="8" w:space="0" w:color="FEDADD" w:themeColor="accent5"/>
          <w:right w:val="single" w:sz="8" w:space="0" w:color="FEDADD" w:themeColor="accent5"/>
        </w:tcBorders>
        <w:shd w:val="clear" w:color="auto" w:fill="FEF5F6" w:themeFill="accent5" w:themeFillTint="3F"/>
      </w:tcPr>
    </w:tblStylePr>
    <w:tblStylePr w:type="band1Horz">
      <w:tblPr/>
      <w:tcPr>
        <w:tcBorders>
          <w:top w:val="single" w:sz="8" w:space="0" w:color="FEDADD" w:themeColor="accent5"/>
          <w:left w:val="single" w:sz="8" w:space="0" w:color="FEDADD" w:themeColor="accent5"/>
          <w:bottom w:val="single" w:sz="8" w:space="0" w:color="FEDADD" w:themeColor="accent5"/>
          <w:right w:val="single" w:sz="8" w:space="0" w:color="FEDADD" w:themeColor="accent5"/>
          <w:insideV w:val="single" w:sz="8" w:space="0" w:color="FEDADD" w:themeColor="accent5"/>
        </w:tcBorders>
        <w:shd w:val="clear" w:color="auto" w:fill="FEF5F6" w:themeFill="accent5" w:themeFillTint="3F"/>
      </w:tcPr>
    </w:tblStylePr>
    <w:tblStylePr w:type="band2Horz">
      <w:tblPr/>
      <w:tcPr>
        <w:tcBorders>
          <w:top w:val="single" w:sz="8" w:space="0" w:color="FEDADD" w:themeColor="accent5"/>
          <w:left w:val="single" w:sz="8" w:space="0" w:color="FEDADD" w:themeColor="accent5"/>
          <w:bottom w:val="single" w:sz="8" w:space="0" w:color="FEDADD" w:themeColor="accent5"/>
          <w:right w:val="single" w:sz="8" w:space="0" w:color="FEDADD" w:themeColor="accent5"/>
          <w:insideV w:val="single" w:sz="8" w:space="0" w:color="FEDADD" w:themeColor="accent5"/>
        </w:tcBorders>
      </w:tcPr>
    </w:tblStylePr>
  </w:style>
  <w:style w:type="table" w:styleId="LightGrid-Accent6">
    <w:name w:val="Light Grid Accent 6"/>
    <w:basedOn w:val="TableNormal"/>
    <w:uiPriority w:val="62"/>
    <w:pPr>
      <w:spacing w:after="0"/>
    </w:pPr>
    <w:tblPr>
      <w:tblStyleRowBandSize w:val="1"/>
      <w:tblStyleColBandSize w:val="1"/>
      <w:tblBorders>
        <w:top w:val="single" w:sz="8" w:space="0" w:color="700015" w:themeColor="accent6"/>
        <w:left w:val="single" w:sz="8" w:space="0" w:color="700015" w:themeColor="accent6"/>
        <w:bottom w:val="single" w:sz="8" w:space="0" w:color="700015" w:themeColor="accent6"/>
        <w:right w:val="single" w:sz="8" w:space="0" w:color="700015" w:themeColor="accent6"/>
        <w:insideH w:val="single" w:sz="8" w:space="0" w:color="700015" w:themeColor="accent6"/>
        <w:insideV w:val="single" w:sz="8" w:space="0" w:color="70001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0015" w:themeColor="accent6"/>
          <w:left w:val="single" w:sz="8" w:space="0" w:color="700015" w:themeColor="accent6"/>
          <w:bottom w:val="single" w:sz="18" w:space="0" w:color="700015" w:themeColor="accent6"/>
          <w:right w:val="single" w:sz="8" w:space="0" w:color="700015" w:themeColor="accent6"/>
          <w:insideH w:val="nil"/>
          <w:insideV w:val="single" w:sz="8" w:space="0" w:color="70001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0015" w:themeColor="accent6"/>
          <w:left w:val="single" w:sz="8" w:space="0" w:color="700015" w:themeColor="accent6"/>
          <w:bottom w:val="single" w:sz="8" w:space="0" w:color="700015" w:themeColor="accent6"/>
          <w:right w:val="single" w:sz="8" w:space="0" w:color="700015" w:themeColor="accent6"/>
          <w:insideH w:val="nil"/>
          <w:insideV w:val="single" w:sz="8" w:space="0" w:color="70001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0015" w:themeColor="accent6"/>
          <w:left w:val="single" w:sz="8" w:space="0" w:color="700015" w:themeColor="accent6"/>
          <w:bottom w:val="single" w:sz="8" w:space="0" w:color="700015" w:themeColor="accent6"/>
          <w:right w:val="single" w:sz="8" w:space="0" w:color="700015" w:themeColor="accent6"/>
        </w:tcBorders>
      </w:tcPr>
    </w:tblStylePr>
    <w:tblStylePr w:type="band1Vert">
      <w:tblPr/>
      <w:tcPr>
        <w:tcBorders>
          <w:top w:val="single" w:sz="8" w:space="0" w:color="700015" w:themeColor="accent6"/>
          <w:left w:val="single" w:sz="8" w:space="0" w:color="700015" w:themeColor="accent6"/>
          <w:bottom w:val="single" w:sz="8" w:space="0" w:color="700015" w:themeColor="accent6"/>
          <w:right w:val="single" w:sz="8" w:space="0" w:color="700015" w:themeColor="accent6"/>
        </w:tcBorders>
        <w:shd w:val="clear" w:color="auto" w:fill="FF9CAE" w:themeFill="accent6" w:themeFillTint="3F"/>
      </w:tcPr>
    </w:tblStylePr>
    <w:tblStylePr w:type="band1Horz">
      <w:tblPr/>
      <w:tcPr>
        <w:tcBorders>
          <w:top w:val="single" w:sz="8" w:space="0" w:color="700015" w:themeColor="accent6"/>
          <w:left w:val="single" w:sz="8" w:space="0" w:color="700015" w:themeColor="accent6"/>
          <w:bottom w:val="single" w:sz="8" w:space="0" w:color="700015" w:themeColor="accent6"/>
          <w:right w:val="single" w:sz="8" w:space="0" w:color="700015" w:themeColor="accent6"/>
          <w:insideV w:val="single" w:sz="8" w:space="0" w:color="700015" w:themeColor="accent6"/>
        </w:tcBorders>
        <w:shd w:val="clear" w:color="auto" w:fill="FF9CAE" w:themeFill="accent6" w:themeFillTint="3F"/>
      </w:tcPr>
    </w:tblStylePr>
    <w:tblStylePr w:type="band2Horz">
      <w:tblPr/>
      <w:tcPr>
        <w:tcBorders>
          <w:top w:val="single" w:sz="8" w:space="0" w:color="700015" w:themeColor="accent6"/>
          <w:left w:val="single" w:sz="8" w:space="0" w:color="700015" w:themeColor="accent6"/>
          <w:bottom w:val="single" w:sz="8" w:space="0" w:color="700015" w:themeColor="accent6"/>
          <w:right w:val="single" w:sz="8" w:space="0" w:color="700015" w:themeColor="accent6"/>
          <w:insideV w:val="single" w:sz="8" w:space="0" w:color="700015" w:themeColor="accent6"/>
        </w:tcBorders>
      </w:tcPr>
    </w:tblStylePr>
  </w:style>
  <w:style w:type="table" w:styleId="LightList">
    <w:name w:val="Light List"/>
    <w:basedOn w:val="TableNormal"/>
    <w:uiPriority w:val="61"/>
    <w:pPr>
      <w:spacing w:after="0"/>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FFFFFF"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table" w:styleId="LightList-Accent1">
    <w:name w:val="Light List Accent 1"/>
    <w:basedOn w:val="TableNormal"/>
    <w:uiPriority w:val="61"/>
    <w:pPr>
      <w:spacing w:after="0"/>
    </w:pPr>
    <w:tblPr>
      <w:tblStyleRowBandSize w:val="1"/>
      <w:tblStyleColBandSize w:val="1"/>
      <w:tblBorders>
        <w:top w:val="single" w:sz="8" w:space="0" w:color="8A002E" w:themeColor="accent1"/>
        <w:left w:val="single" w:sz="8" w:space="0" w:color="8A002E" w:themeColor="accent1"/>
        <w:bottom w:val="single" w:sz="8" w:space="0" w:color="8A002E" w:themeColor="accent1"/>
        <w:right w:val="single" w:sz="8" w:space="0" w:color="8A002E" w:themeColor="accent1"/>
      </w:tblBorders>
    </w:tblPr>
    <w:tblStylePr w:type="firstRow">
      <w:pPr>
        <w:spacing w:before="0" w:after="0" w:line="240" w:lineRule="auto"/>
      </w:pPr>
      <w:rPr>
        <w:b/>
        <w:bCs/>
        <w:color w:val="FFFFFF" w:themeColor="background1"/>
      </w:rPr>
      <w:tblPr/>
      <w:tcPr>
        <w:shd w:val="clear" w:color="auto" w:fill="8A002E" w:themeFill="accent1"/>
      </w:tcPr>
    </w:tblStylePr>
    <w:tblStylePr w:type="lastRow">
      <w:pPr>
        <w:spacing w:before="0" w:after="0" w:line="240" w:lineRule="auto"/>
      </w:pPr>
      <w:rPr>
        <w:b/>
        <w:bCs/>
      </w:rPr>
      <w:tblPr/>
      <w:tcPr>
        <w:tcBorders>
          <w:top w:val="double" w:sz="6" w:space="0" w:color="8A002E" w:themeColor="accent1"/>
          <w:left w:val="single" w:sz="8" w:space="0" w:color="8A002E" w:themeColor="accent1"/>
          <w:bottom w:val="single" w:sz="8" w:space="0" w:color="8A002E" w:themeColor="accent1"/>
          <w:right w:val="single" w:sz="8" w:space="0" w:color="8A002E" w:themeColor="accent1"/>
        </w:tcBorders>
      </w:tcPr>
    </w:tblStylePr>
    <w:tblStylePr w:type="firstCol">
      <w:rPr>
        <w:b/>
        <w:bCs/>
      </w:rPr>
    </w:tblStylePr>
    <w:tblStylePr w:type="lastCol">
      <w:rPr>
        <w:b/>
        <w:bCs/>
      </w:rPr>
    </w:tblStylePr>
    <w:tblStylePr w:type="band1Vert">
      <w:tblPr/>
      <w:tcPr>
        <w:tcBorders>
          <w:top w:val="single" w:sz="8" w:space="0" w:color="8A002E" w:themeColor="accent1"/>
          <w:left w:val="single" w:sz="8" w:space="0" w:color="8A002E" w:themeColor="accent1"/>
          <w:bottom w:val="single" w:sz="8" w:space="0" w:color="8A002E" w:themeColor="accent1"/>
          <w:right w:val="single" w:sz="8" w:space="0" w:color="8A002E" w:themeColor="accent1"/>
        </w:tcBorders>
      </w:tcPr>
    </w:tblStylePr>
    <w:tblStylePr w:type="band1Horz">
      <w:tblPr/>
      <w:tcPr>
        <w:tcBorders>
          <w:top w:val="single" w:sz="8" w:space="0" w:color="8A002E" w:themeColor="accent1"/>
          <w:left w:val="single" w:sz="8" w:space="0" w:color="8A002E" w:themeColor="accent1"/>
          <w:bottom w:val="single" w:sz="8" w:space="0" w:color="8A002E" w:themeColor="accent1"/>
          <w:right w:val="single" w:sz="8" w:space="0" w:color="8A002E" w:themeColor="accent1"/>
        </w:tcBorders>
      </w:tcPr>
    </w:tblStylePr>
  </w:style>
  <w:style w:type="table" w:styleId="LightList-Accent2">
    <w:name w:val="Light List Accent 2"/>
    <w:basedOn w:val="TableNormal"/>
    <w:uiPriority w:val="61"/>
    <w:pPr>
      <w:spacing w:after="0"/>
    </w:pPr>
    <w:tblPr>
      <w:tblStyleRowBandSize w:val="1"/>
      <w:tblStyleColBandSize w:val="1"/>
      <w:tblBorders>
        <w:top w:val="single" w:sz="8" w:space="0" w:color="960443" w:themeColor="accent2"/>
        <w:left w:val="single" w:sz="8" w:space="0" w:color="960443" w:themeColor="accent2"/>
        <w:bottom w:val="single" w:sz="8" w:space="0" w:color="960443" w:themeColor="accent2"/>
        <w:right w:val="single" w:sz="8" w:space="0" w:color="960443" w:themeColor="accent2"/>
      </w:tblBorders>
    </w:tblPr>
    <w:tblStylePr w:type="firstRow">
      <w:pPr>
        <w:spacing w:before="0" w:after="0" w:line="240" w:lineRule="auto"/>
      </w:pPr>
      <w:rPr>
        <w:b/>
        <w:bCs/>
        <w:color w:val="FFFFFF" w:themeColor="background1"/>
      </w:rPr>
      <w:tblPr/>
      <w:tcPr>
        <w:shd w:val="clear" w:color="auto" w:fill="960443" w:themeFill="accent2"/>
      </w:tcPr>
    </w:tblStylePr>
    <w:tblStylePr w:type="lastRow">
      <w:pPr>
        <w:spacing w:before="0" w:after="0" w:line="240" w:lineRule="auto"/>
      </w:pPr>
      <w:rPr>
        <w:b/>
        <w:bCs/>
      </w:rPr>
      <w:tblPr/>
      <w:tcPr>
        <w:tcBorders>
          <w:top w:val="double" w:sz="6" w:space="0" w:color="960443" w:themeColor="accent2"/>
          <w:left w:val="single" w:sz="8" w:space="0" w:color="960443" w:themeColor="accent2"/>
          <w:bottom w:val="single" w:sz="8" w:space="0" w:color="960443" w:themeColor="accent2"/>
          <w:right w:val="single" w:sz="8" w:space="0" w:color="960443" w:themeColor="accent2"/>
        </w:tcBorders>
      </w:tcPr>
    </w:tblStylePr>
    <w:tblStylePr w:type="firstCol">
      <w:rPr>
        <w:b/>
        <w:bCs/>
      </w:rPr>
    </w:tblStylePr>
    <w:tblStylePr w:type="lastCol">
      <w:rPr>
        <w:b/>
        <w:bCs/>
      </w:rPr>
    </w:tblStylePr>
    <w:tblStylePr w:type="band1Vert">
      <w:tblPr/>
      <w:tcPr>
        <w:tcBorders>
          <w:top w:val="single" w:sz="8" w:space="0" w:color="960443" w:themeColor="accent2"/>
          <w:left w:val="single" w:sz="8" w:space="0" w:color="960443" w:themeColor="accent2"/>
          <w:bottom w:val="single" w:sz="8" w:space="0" w:color="960443" w:themeColor="accent2"/>
          <w:right w:val="single" w:sz="8" w:space="0" w:color="960443" w:themeColor="accent2"/>
        </w:tcBorders>
      </w:tcPr>
    </w:tblStylePr>
    <w:tblStylePr w:type="band1Horz">
      <w:tblPr/>
      <w:tcPr>
        <w:tcBorders>
          <w:top w:val="single" w:sz="8" w:space="0" w:color="960443" w:themeColor="accent2"/>
          <w:left w:val="single" w:sz="8" w:space="0" w:color="960443" w:themeColor="accent2"/>
          <w:bottom w:val="single" w:sz="8" w:space="0" w:color="960443" w:themeColor="accent2"/>
          <w:right w:val="single" w:sz="8" w:space="0" w:color="960443" w:themeColor="accent2"/>
        </w:tcBorders>
      </w:tcPr>
    </w:tblStylePr>
  </w:style>
  <w:style w:type="table" w:styleId="LightList-Accent3">
    <w:name w:val="Light List Accent 3"/>
    <w:basedOn w:val="TableNormal"/>
    <w:uiPriority w:val="61"/>
    <w:pPr>
      <w:spacing w:after="0"/>
    </w:pPr>
    <w:tblPr>
      <w:tblStyleRowBandSize w:val="1"/>
      <w:tblStyleColBandSize w:val="1"/>
      <w:tblBorders>
        <w:top w:val="single" w:sz="8" w:space="0" w:color="AB054C" w:themeColor="accent3"/>
        <w:left w:val="single" w:sz="8" w:space="0" w:color="AB054C" w:themeColor="accent3"/>
        <w:bottom w:val="single" w:sz="8" w:space="0" w:color="AB054C" w:themeColor="accent3"/>
        <w:right w:val="single" w:sz="8" w:space="0" w:color="AB054C" w:themeColor="accent3"/>
      </w:tblBorders>
    </w:tblPr>
    <w:tblStylePr w:type="firstRow">
      <w:pPr>
        <w:spacing w:before="0" w:after="0" w:line="240" w:lineRule="auto"/>
      </w:pPr>
      <w:rPr>
        <w:b/>
        <w:bCs/>
        <w:color w:val="FFFFFF" w:themeColor="background1"/>
      </w:rPr>
      <w:tblPr/>
      <w:tcPr>
        <w:shd w:val="clear" w:color="auto" w:fill="AB054C" w:themeFill="accent3"/>
      </w:tcPr>
    </w:tblStylePr>
    <w:tblStylePr w:type="lastRow">
      <w:pPr>
        <w:spacing w:before="0" w:after="0" w:line="240" w:lineRule="auto"/>
      </w:pPr>
      <w:rPr>
        <w:b/>
        <w:bCs/>
      </w:rPr>
      <w:tblPr/>
      <w:tcPr>
        <w:tcBorders>
          <w:top w:val="double" w:sz="6" w:space="0" w:color="AB054C" w:themeColor="accent3"/>
          <w:left w:val="single" w:sz="8" w:space="0" w:color="AB054C" w:themeColor="accent3"/>
          <w:bottom w:val="single" w:sz="8" w:space="0" w:color="AB054C" w:themeColor="accent3"/>
          <w:right w:val="single" w:sz="8" w:space="0" w:color="AB054C" w:themeColor="accent3"/>
        </w:tcBorders>
      </w:tcPr>
    </w:tblStylePr>
    <w:tblStylePr w:type="firstCol">
      <w:rPr>
        <w:b/>
        <w:bCs/>
      </w:rPr>
    </w:tblStylePr>
    <w:tblStylePr w:type="lastCol">
      <w:rPr>
        <w:b/>
        <w:bCs/>
      </w:rPr>
    </w:tblStylePr>
    <w:tblStylePr w:type="band1Vert">
      <w:tblPr/>
      <w:tcPr>
        <w:tcBorders>
          <w:top w:val="single" w:sz="8" w:space="0" w:color="AB054C" w:themeColor="accent3"/>
          <w:left w:val="single" w:sz="8" w:space="0" w:color="AB054C" w:themeColor="accent3"/>
          <w:bottom w:val="single" w:sz="8" w:space="0" w:color="AB054C" w:themeColor="accent3"/>
          <w:right w:val="single" w:sz="8" w:space="0" w:color="AB054C" w:themeColor="accent3"/>
        </w:tcBorders>
      </w:tcPr>
    </w:tblStylePr>
    <w:tblStylePr w:type="band1Horz">
      <w:tblPr/>
      <w:tcPr>
        <w:tcBorders>
          <w:top w:val="single" w:sz="8" w:space="0" w:color="AB054C" w:themeColor="accent3"/>
          <w:left w:val="single" w:sz="8" w:space="0" w:color="AB054C" w:themeColor="accent3"/>
          <w:bottom w:val="single" w:sz="8" w:space="0" w:color="AB054C" w:themeColor="accent3"/>
          <w:right w:val="single" w:sz="8" w:space="0" w:color="AB054C" w:themeColor="accent3"/>
        </w:tcBorders>
      </w:tcPr>
    </w:tblStylePr>
  </w:style>
  <w:style w:type="table" w:styleId="LightList-Accent4">
    <w:name w:val="Light List Accent 4"/>
    <w:basedOn w:val="TableNormal"/>
    <w:uiPriority w:val="61"/>
    <w:pPr>
      <w:spacing w:after="0"/>
    </w:pPr>
    <w:tblPr>
      <w:tblStyleRowBandSize w:val="1"/>
      <w:tblStyleColBandSize w:val="1"/>
      <w:tblBorders>
        <w:top w:val="single" w:sz="8" w:space="0" w:color="FFE7E7" w:themeColor="accent4"/>
        <w:left w:val="single" w:sz="8" w:space="0" w:color="FFE7E7" w:themeColor="accent4"/>
        <w:bottom w:val="single" w:sz="8" w:space="0" w:color="FFE7E7" w:themeColor="accent4"/>
        <w:right w:val="single" w:sz="8" w:space="0" w:color="FFE7E7" w:themeColor="accent4"/>
      </w:tblBorders>
    </w:tblPr>
    <w:tblStylePr w:type="firstRow">
      <w:pPr>
        <w:spacing w:before="0" w:after="0" w:line="240" w:lineRule="auto"/>
      </w:pPr>
      <w:rPr>
        <w:b/>
        <w:bCs/>
        <w:color w:val="FFFFFF" w:themeColor="background1"/>
      </w:rPr>
      <w:tblPr/>
      <w:tcPr>
        <w:shd w:val="clear" w:color="auto" w:fill="FFE7E7" w:themeFill="accent4"/>
      </w:tcPr>
    </w:tblStylePr>
    <w:tblStylePr w:type="lastRow">
      <w:pPr>
        <w:spacing w:before="0" w:after="0" w:line="240" w:lineRule="auto"/>
      </w:pPr>
      <w:rPr>
        <w:b/>
        <w:bCs/>
      </w:rPr>
      <w:tblPr/>
      <w:tcPr>
        <w:tcBorders>
          <w:top w:val="double" w:sz="6" w:space="0" w:color="FFE7E7" w:themeColor="accent4"/>
          <w:left w:val="single" w:sz="8" w:space="0" w:color="FFE7E7" w:themeColor="accent4"/>
          <w:bottom w:val="single" w:sz="8" w:space="0" w:color="FFE7E7" w:themeColor="accent4"/>
          <w:right w:val="single" w:sz="8" w:space="0" w:color="FFE7E7" w:themeColor="accent4"/>
        </w:tcBorders>
      </w:tcPr>
    </w:tblStylePr>
    <w:tblStylePr w:type="firstCol">
      <w:rPr>
        <w:b/>
        <w:bCs/>
      </w:rPr>
    </w:tblStylePr>
    <w:tblStylePr w:type="lastCol">
      <w:rPr>
        <w:b/>
        <w:bCs/>
      </w:rPr>
    </w:tblStylePr>
    <w:tblStylePr w:type="band1Vert">
      <w:tblPr/>
      <w:tcPr>
        <w:tcBorders>
          <w:top w:val="single" w:sz="8" w:space="0" w:color="FFE7E7" w:themeColor="accent4"/>
          <w:left w:val="single" w:sz="8" w:space="0" w:color="FFE7E7" w:themeColor="accent4"/>
          <w:bottom w:val="single" w:sz="8" w:space="0" w:color="FFE7E7" w:themeColor="accent4"/>
          <w:right w:val="single" w:sz="8" w:space="0" w:color="FFE7E7" w:themeColor="accent4"/>
        </w:tcBorders>
      </w:tcPr>
    </w:tblStylePr>
    <w:tblStylePr w:type="band1Horz">
      <w:tblPr/>
      <w:tcPr>
        <w:tcBorders>
          <w:top w:val="single" w:sz="8" w:space="0" w:color="FFE7E7" w:themeColor="accent4"/>
          <w:left w:val="single" w:sz="8" w:space="0" w:color="FFE7E7" w:themeColor="accent4"/>
          <w:bottom w:val="single" w:sz="8" w:space="0" w:color="FFE7E7" w:themeColor="accent4"/>
          <w:right w:val="single" w:sz="8" w:space="0" w:color="FFE7E7" w:themeColor="accent4"/>
        </w:tcBorders>
      </w:tcPr>
    </w:tblStylePr>
  </w:style>
  <w:style w:type="table" w:styleId="LightList-Accent5">
    <w:name w:val="Light List Accent 5"/>
    <w:basedOn w:val="TableNormal"/>
    <w:uiPriority w:val="61"/>
    <w:pPr>
      <w:spacing w:after="0"/>
    </w:pPr>
    <w:tblPr>
      <w:tblStyleRowBandSize w:val="1"/>
      <w:tblStyleColBandSize w:val="1"/>
      <w:tblBorders>
        <w:top w:val="single" w:sz="8" w:space="0" w:color="FEDADD" w:themeColor="accent5"/>
        <w:left w:val="single" w:sz="8" w:space="0" w:color="FEDADD" w:themeColor="accent5"/>
        <w:bottom w:val="single" w:sz="8" w:space="0" w:color="FEDADD" w:themeColor="accent5"/>
        <w:right w:val="single" w:sz="8" w:space="0" w:color="FEDADD" w:themeColor="accent5"/>
      </w:tblBorders>
    </w:tblPr>
    <w:tblStylePr w:type="firstRow">
      <w:pPr>
        <w:spacing w:before="0" w:after="0" w:line="240" w:lineRule="auto"/>
      </w:pPr>
      <w:rPr>
        <w:b/>
        <w:bCs/>
        <w:color w:val="FFFFFF" w:themeColor="background1"/>
      </w:rPr>
      <w:tblPr/>
      <w:tcPr>
        <w:shd w:val="clear" w:color="auto" w:fill="FEDADD" w:themeFill="accent5"/>
      </w:tcPr>
    </w:tblStylePr>
    <w:tblStylePr w:type="lastRow">
      <w:pPr>
        <w:spacing w:before="0" w:after="0" w:line="240" w:lineRule="auto"/>
      </w:pPr>
      <w:rPr>
        <w:b/>
        <w:bCs/>
      </w:rPr>
      <w:tblPr/>
      <w:tcPr>
        <w:tcBorders>
          <w:top w:val="double" w:sz="6" w:space="0" w:color="FEDADD" w:themeColor="accent5"/>
          <w:left w:val="single" w:sz="8" w:space="0" w:color="FEDADD" w:themeColor="accent5"/>
          <w:bottom w:val="single" w:sz="8" w:space="0" w:color="FEDADD" w:themeColor="accent5"/>
          <w:right w:val="single" w:sz="8" w:space="0" w:color="FEDADD" w:themeColor="accent5"/>
        </w:tcBorders>
      </w:tcPr>
    </w:tblStylePr>
    <w:tblStylePr w:type="firstCol">
      <w:rPr>
        <w:b/>
        <w:bCs/>
      </w:rPr>
    </w:tblStylePr>
    <w:tblStylePr w:type="lastCol">
      <w:rPr>
        <w:b/>
        <w:bCs/>
      </w:rPr>
    </w:tblStylePr>
    <w:tblStylePr w:type="band1Vert">
      <w:tblPr/>
      <w:tcPr>
        <w:tcBorders>
          <w:top w:val="single" w:sz="8" w:space="0" w:color="FEDADD" w:themeColor="accent5"/>
          <w:left w:val="single" w:sz="8" w:space="0" w:color="FEDADD" w:themeColor="accent5"/>
          <w:bottom w:val="single" w:sz="8" w:space="0" w:color="FEDADD" w:themeColor="accent5"/>
          <w:right w:val="single" w:sz="8" w:space="0" w:color="FEDADD" w:themeColor="accent5"/>
        </w:tcBorders>
      </w:tcPr>
    </w:tblStylePr>
    <w:tblStylePr w:type="band1Horz">
      <w:tblPr/>
      <w:tcPr>
        <w:tcBorders>
          <w:top w:val="single" w:sz="8" w:space="0" w:color="FEDADD" w:themeColor="accent5"/>
          <w:left w:val="single" w:sz="8" w:space="0" w:color="FEDADD" w:themeColor="accent5"/>
          <w:bottom w:val="single" w:sz="8" w:space="0" w:color="FEDADD" w:themeColor="accent5"/>
          <w:right w:val="single" w:sz="8" w:space="0" w:color="FEDADD" w:themeColor="accent5"/>
        </w:tcBorders>
      </w:tcPr>
    </w:tblStylePr>
  </w:style>
  <w:style w:type="table" w:styleId="LightList-Accent6">
    <w:name w:val="Light List Accent 6"/>
    <w:basedOn w:val="TableNormal"/>
    <w:uiPriority w:val="61"/>
    <w:pPr>
      <w:spacing w:after="0"/>
    </w:pPr>
    <w:tblPr>
      <w:tblStyleRowBandSize w:val="1"/>
      <w:tblStyleColBandSize w:val="1"/>
      <w:tblBorders>
        <w:top w:val="single" w:sz="8" w:space="0" w:color="700015" w:themeColor="accent6"/>
        <w:left w:val="single" w:sz="8" w:space="0" w:color="700015" w:themeColor="accent6"/>
        <w:bottom w:val="single" w:sz="8" w:space="0" w:color="700015" w:themeColor="accent6"/>
        <w:right w:val="single" w:sz="8" w:space="0" w:color="700015" w:themeColor="accent6"/>
      </w:tblBorders>
    </w:tblPr>
    <w:tblStylePr w:type="firstRow">
      <w:pPr>
        <w:spacing w:before="0" w:after="0" w:line="240" w:lineRule="auto"/>
      </w:pPr>
      <w:rPr>
        <w:b/>
        <w:bCs/>
        <w:color w:val="FFFFFF" w:themeColor="background1"/>
      </w:rPr>
      <w:tblPr/>
      <w:tcPr>
        <w:shd w:val="clear" w:color="auto" w:fill="700015" w:themeFill="accent6"/>
      </w:tcPr>
    </w:tblStylePr>
    <w:tblStylePr w:type="lastRow">
      <w:pPr>
        <w:spacing w:before="0" w:after="0" w:line="240" w:lineRule="auto"/>
      </w:pPr>
      <w:rPr>
        <w:b/>
        <w:bCs/>
      </w:rPr>
      <w:tblPr/>
      <w:tcPr>
        <w:tcBorders>
          <w:top w:val="double" w:sz="6" w:space="0" w:color="700015" w:themeColor="accent6"/>
          <w:left w:val="single" w:sz="8" w:space="0" w:color="700015" w:themeColor="accent6"/>
          <w:bottom w:val="single" w:sz="8" w:space="0" w:color="700015" w:themeColor="accent6"/>
          <w:right w:val="single" w:sz="8" w:space="0" w:color="700015" w:themeColor="accent6"/>
        </w:tcBorders>
      </w:tcPr>
    </w:tblStylePr>
    <w:tblStylePr w:type="firstCol">
      <w:rPr>
        <w:b/>
        <w:bCs/>
      </w:rPr>
    </w:tblStylePr>
    <w:tblStylePr w:type="lastCol">
      <w:rPr>
        <w:b/>
        <w:bCs/>
      </w:rPr>
    </w:tblStylePr>
    <w:tblStylePr w:type="band1Vert">
      <w:tblPr/>
      <w:tcPr>
        <w:tcBorders>
          <w:top w:val="single" w:sz="8" w:space="0" w:color="700015" w:themeColor="accent6"/>
          <w:left w:val="single" w:sz="8" w:space="0" w:color="700015" w:themeColor="accent6"/>
          <w:bottom w:val="single" w:sz="8" w:space="0" w:color="700015" w:themeColor="accent6"/>
          <w:right w:val="single" w:sz="8" w:space="0" w:color="700015" w:themeColor="accent6"/>
        </w:tcBorders>
      </w:tcPr>
    </w:tblStylePr>
    <w:tblStylePr w:type="band1Horz">
      <w:tblPr/>
      <w:tcPr>
        <w:tcBorders>
          <w:top w:val="single" w:sz="8" w:space="0" w:color="700015" w:themeColor="accent6"/>
          <w:left w:val="single" w:sz="8" w:space="0" w:color="700015" w:themeColor="accent6"/>
          <w:bottom w:val="single" w:sz="8" w:space="0" w:color="700015" w:themeColor="accent6"/>
          <w:right w:val="single" w:sz="8" w:space="0" w:color="700015" w:themeColor="accent6"/>
        </w:tcBorders>
      </w:tcPr>
    </w:tblStylePr>
  </w:style>
  <w:style w:type="table" w:styleId="LightShading">
    <w:name w:val="Light Shading"/>
    <w:basedOn w:val="TableNormal"/>
    <w:uiPriority w:val="60"/>
    <w:pPr>
      <w:spacing w:after="0"/>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table" w:styleId="LightShading-Accent1">
    <w:name w:val="Light Shading Accent 1"/>
    <w:basedOn w:val="TableNormal"/>
    <w:uiPriority w:val="60"/>
    <w:pPr>
      <w:spacing w:after="0"/>
    </w:pPr>
    <w:rPr>
      <w:color w:val="670022" w:themeColor="accent1" w:themeShade="BF"/>
    </w:rPr>
    <w:tblPr>
      <w:tblStyleRowBandSize w:val="1"/>
      <w:tblStyleColBandSize w:val="1"/>
      <w:tblBorders>
        <w:top w:val="single" w:sz="8" w:space="0" w:color="8A002E" w:themeColor="accent1"/>
        <w:bottom w:val="single" w:sz="8" w:space="0" w:color="8A002E" w:themeColor="accent1"/>
      </w:tblBorders>
    </w:tblPr>
    <w:tblStylePr w:type="firstRow">
      <w:pPr>
        <w:spacing w:before="0" w:after="0" w:line="240" w:lineRule="auto"/>
      </w:pPr>
      <w:rPr>
        <w:b/>
        <w:bCs/>
      </w:rPr>
      <w:tblPr/>
      <w:tcPr>
        <w:tcBorders>
          <w:top w:val="single" w:sz="8" w:space="0" w:color="8A002E" w:themeColor="accent1"/>
          <w:left w:val="nil"/>
          <w:bottom w:val="single" w:sz="8" w:space="0" w:color="8A002E" w:themeColor="accent1"/>
          <w:right w:val="nil"/>
          <w:insideH w:val="nil"/>
          <w:insideV w:val="nil"/>
        </w:tcBorders>
      </w:tcPr>
    </w:tblStylePr>
    <w:tblStylePr w:type="lastRow">
      <w:pPr>
        <w:spacing w:before="0" w:after="0" w:line="240" w:lineRule="auto"/>
      </w:pPr>
      <w:rPr>
        <w:b/>
        <w:bCs/>
      </w:rPr>
      <w:tblPr/>
      <w:tcPr>
        <w:tcBorders>
          <w:top w:val="single" w:sz="8" w:space="0" w:color="8A002E" w:themeColor="accent1"/>
          <w:left w:val="nil"/>
          <w:bottom w:val="single" w:sz="8" w:space="0" w:color="8A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3C1" w:themeFill="accent1" w:themeFillTint="3F"/>
      </w:tcPr>
    </w:tblStylePr>
    <w:tblStylePr w:type="band1Horz">
      <w:tblPr/>
      <w:tcPr>
        <w:tcBorders>
          <w:left w:val="nil"/>
          <w:right w:val="nil"/>
          <w:insideH w:val="nil"/>
          <w:insideV w:val="nil"/>
        </w:tcBorders>
        <w:shd w:val="clear" w:color="auto" w:fill="FFA3C1" w:themeFill="accent1" w:themeFillTint="3F"/>
      </w:tcPr>
    </w:tblStylePr>
  </w:style>
  <w:style w:type="table" w:styleId="LightShading-Accent2">
    <w:name w:val="Light Shading Accent 2"/>
    <w:basedOn w:val="TableNormal"/>
    <w:uiPriority w:val="60"/>
    <w:pPr>
      <w:spacing w:after="0"/>
    </w:pPr>
    <w:rPr>
      <w:color w:val="700332" w:themeColor="accent2" w:themeShade="BF"/>
    </w:rPr>
    <w:tblPr>
      <w:tblStyleRowBandSize w:val="1"/>
      <w:tblStyleColBandSize w:val="1"/>
      <w:tblBorders>
        <w:top w:val="single" w:sz="8" w:space="0" w:color="960443" w:themeColor="accent2"/>
        <w:bottom w:val="single" w:sz="8" w:space="0" w:color="960443" w:themeColor="accent2"/>
      </w:tblBorders>
    </w:tblPr>
    <w:tblStylePr w:type="firstRow">
      <w:pPr>
        <w:spacing w:before="0" w:after="0" w:line="240" w:lineRule="auto"/>
      </w:pPr>
      <w:rPr>
        <w:b/>
        <w:bCs/>
      </w:rPr>
      <w:tblPr/>
      <w:tcPr>
        <w:tcBorders>
          <w:top w:val="single" w:sz="8" w:space="0" w:color="960443" w:themeColor="accent2"/>
          <w:left w:val="nil"/>
          <w:bottom w:val="single" w:sz="8" w:space="0" w:color="960443" w:themeColor="accent2"/>
          <w:right w:val="nil"/>
          <w:insideH w:val="nil"/>
          <w:insideV w:val="nil"/>
        </w:tcBorders>
      </w:tcPr>
    </w:tblStylePr>
    <w:tblStylePr w:type="lastRow">
      <w:pPr>
        <w:spacing w:before="0" w:after="0" w:line="240" w:lineRule="auto"/>
      </w:pPr>
      <w:rPr>
        <w:b/>
        <w:bCs/>
      </w:rPr>
      <w:tblPr/>
      <w:tcPr>
        <w:tcBorders>
          <w:top w:val="single" w:sz="8" w:space="0" w:color="960443" w:themeColor="accent2"/>
          <w:left w:val="nil"/>
          <w:bottom w:val="single" w:sz="8" w:space="0" w:color="96044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A9CD" w:themeFill="accent2" w:themeFillTint="3F"/>
      </w:tcPr>
    </w:tblStylePr>
    <w:tblStylePr w:type="band1Horz">
      <w:tblPr/>
      <w:tcPr>
        <w:tcBorders>
          <w:left w:val="nil"/>
          <w:right w:val="nil"/>
          <w:insideH w:val="nil"/>
          <w:insideV w:val="nil"/>
        </w:tcBorders>
        <w:shd w:val="clear" w:color="auto" w:fill="FCA9CD" w:themeFill="accent2" w:themeFillTint="3F"/>
      </w:tcPr>
    </w:tblStylePr>
  </w:style>
  <w:style w:type="table" w:styleId="LightShading-Accent3">
    <w:name w:val="Light Shading Accent 3"/>
    <w:basedOn w:val="TableNormal"/>
    <w:uiPriority w:val="60"/>
    <w:pPr>
      <w:spacing w:after="0"/>
    </w:pPr>
    <w:rPr>
      <w:color w:val="7F0338" w:themeColor="accent3" w:themeShade="BF"/>
    </w:rPr>
    <w:tblPr>
      <w:tblStyleRowBandSize w:val="1"/>
      <w:tblStyleColBandSize w:val="1"/>
      <w:tblBorders>
        <w:top w:val="single" w:sz="8" w:space="0" w:color="AB054C" w:themeColor="accent3"/>
        <w:bottom w:val="single" w:sz="8" w:space="0" w:color="AB054C" w:themeColor="accent3"/>
      </w:tblBorders>
    </w:tblPr>
    <w:tblStylePr w:type="firstRow">
      <w:pPr>
        <w:spacing w:before="0" w:after="0" w:line="240" w:lineRule="auto"/>
      </w:pPr>
      <w:rPr>
        <w:b/>
        <w:bCs/>
      </w:rPr>
      <w:tblPr/>
      <w:tcPr>
        <w:tcBorders>
          <w:top w:val="single" w:sz="8" w:space="0" w:color="AB054C" w:themeColor="accent3"/>
          <w:left w:val="nil"/>
          <w:bottom w:val="single" w:sz="8" w:space="0" w:color="AB054C" w:themeColor="accent3"/>
          <w:right w:val="nil"/>
          <w:insideH w:val="nil"/>
          <w:insideV w:val="nil"/>
        </w:tcBorders>
      </w:tcPr>
    </w:tblStylePr>
    <w:tblStylePr w:type="lastRow">
      <w:pPr>
        <w:spacing w:before="0" w:after="0" w:line="240" w:lineRule="auto"/>
      </w:pPr>
      <w:rPr>
        <w:b/>
        <w:bCs/>
      </w:rPr>
      <w:tblPr/>
      <w:tcPr>
        <w:tcBorders>
          <w:top w:val="single" w:sz="8" w:space="0" w:color="AB054C" w:themeColor="accent3"/>
          <w:left w:val="nil"/>
          <w:bottom w:val="single" w:sz="8" w:space="0" w:color="AB05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AED0" w:themeFill="accent3" w:themeFillTint="3F"/>
      </w:tcPr>
    </w:tblStylePr>
    <w:tblStylePr w:type="band1Horz">
      <w:tblPr/>
      <w:tcPr>
        <w:tcBorders>
          <w:left w:val="nil"/>
          <w:right w:val="nil"/>
          <w:insideH w:val="nil"/>
          <w:insideV w:val="nil"/>
        </w:tcBorders>
        <w:shd w:val="clear" w:color="auto" w:fill="FCAED0" w:themeFill="accent3" w:themeFillTint="3F"/>
      </w:tcPr>
    </w:tblStylePr>
  </w:style>
  <w:style w:type="table" w:styleId="LightShading-Accent4">
    <w:name w:val="Light Shading Accent 4"/>
    <w:basedOn w:val="TableNormal"/>
    <w:uiPriority w:val="60"/>
    <w:pPr>
      <w:spacing w:after="0"/>
    </w:pPr>
    <w:rPr>
      <w:color w:val="FF6D6D" w:themeColor="accent4" w:themeShade="BF"/>
    </w:rPr>
    <w:tblPr>
      <w:tblStyleRowBandSize w:val="1"/>
      <w:tblStyleColBandSize w:val="1"/>
      <w:tblBorders>
        <w:top w:val="single" w:sz="8" w:space="0" w:color="FFE7E7" w:themeColor="accent4"/>
        <w:bottom w:val="single" w:sz="8" w:space="0" w:color="FFE7E7" w:themeColor="accent4"/>
      </w:tblBorders>
    </w:tblPr>
    <w:tblStylePr w:type="firstRow">
      <w:pPr>
        <w:spacing w:before="0" w:after="0" w:line="240" w:lineRule="auto"/>
      </w:pPr>
      <w:rPr>
        <w:b/>
        <w:bCs/>
      </w:rPr>
      <w:tblPr/>
      <w:tcPr>
        <w:tcBorders>
          <w:top w:val="single" w:sz="8" w:space="0" w:color="FFE7E7" w:themeColor="accent4"/>
          <w:left w:val="nil"/>
          <w:bottom w:val="single" w:sz="8" w:space="0" w:color="FFE7E7" w:themeColor="accent4"/>
          <w:right w:val="nil"/>
          <w:insideH w:val="nil"/>
          <w:insideV w:val="nil"/>
        </w:tcBorders>
      </w:tcPr>
    </w:tblStylePr>
    <w:tblStylePr w:type="lastRow">
      <w:pPr>
        <w:spacing w:before="0" w:after="0" w:line="240" w:lineRule="auto"/>
      </w:pPr>
      <w:rPr>
        <w:b/>
        <w:bCs/>
      </w:rPr>
      <w:tblPr/>
      <w:tcPr>
        <w:tcBorders>
          <w:top w:val="single" w:sz="8" w:space="0" w:color="FFE7E7" w:themeColor="accent4"/>
          <w:left w:val="nil"/>
          <w:bottom w:val="single" w:sz="8" w:space="0" w:color="FFE7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F9" w:themeFill="accent4" w:themeFillTint="3F"/>
      </w:tcPr>
    </w:tblStylePr>
    <w:tblStylePr w:type="band1Horz">
      <w:tblPr/>
      <w:tcPr>
        <w:tcBorders>
          <w:left w:val="nil"/>
          <w:right w:val="nil"/>
          <w:insideH w:val="nil"/>
          <w:insideV w:val="nil"/>
        </w:tcBorders>
        <w:shd w:val="clear" w:color="auto" w:fill="FFF9F9" w:themeFill="accent4" w:themeFillTint="3F"/>
      </w:tcPr>
    </w:tblStylePr>
  </w:style>
  <w:style w:type="table" w:styleId="LightShading-Accent5">
    <w:name w:val="Light Shading Accent 5"/>
    <w:basedOn w:val="TableNormal"/>
    <w:uiPriority w:val="60"/>
    <w:pPr>
      <w:spacing w:after="0"/>
    </w:pPr>
    <w:rPr>
      <w:color w:val="FB6672" w:themeColor="accent5" w:themeShade="BF"/>
    </w:rPr>
    <w:tblPr>
      <w:tblStyleRowBandSize w:val="1"/>
      <w:tblStyleColBandSize w:val="1"/>
      <w:tblBorders>
        <w:top w:val="single" w:sz="8" w:space="0" w:color="FEDADD" w:themeColor="accent5"/>
        <w:bottom w:val="single" w:sz="8" w:space="0" w:color="FEDADD" w:themeColor="accent5"/>
      </w:tblBorders>
    </w:tblPr>
    <w:tblStylePr w:type="firstRow">
      <w:pPr>
        <w:spacing w:before="0" w:after="0" w:line="240" w:lineRule="auto"/>
      </w:pPr>
      <w:rPr>
        <w:b/>
        <w:bCs/>
      </w:rPr>
      <w:tblPr/>
      <w:tcPr>
        <w:tcBorders>
          <w:top w:val="single" w:sz="8" w:space="0" w:color="FEDADD" w:themeColor="accent5"/>
          <w:left w:val="nil"/>
          <w:bottom w:val="single" w:sz="8" w:space="0" w:color="FEDADD" w:themeColor="accent5"/>
          <w:right w:val="nil"/>
          <w:insideH w:val="nil"/>
          <w:insideV w:val="nil"/>
        </w:tcBorders>
      </w:tcPr>
    </w:tblStylePr>
    <w:tblStylePr w:type="lastRow">
      <w:pPr>
        <w:spacing w:before="0" w:after="0" w:line="240" w:lineRule="auto"/>
      </w:pPr>
      <w:rPr>
        <w:b/>
        <w:bCs/>
      </w:rPr>
      <w:tblPr/>
      <w:tcPr>
        <w:tcBorders>
          <w:top w:val="single" w:sz="8" w:space="0" w:color="FEDADD" w:themeColor="accent5"/>
          <w:left w:val="nil"/>
          <w:bottom w:val="single" w:sz="8" w:space="0" w:color="FEDA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F6" w:themeFill="accent5" w:themeFillTint="3F"/>
      </w:tcPr>
    </w:tblStylePr>
    <w:tblStylePr w:type="band1Horz">
      <w:tblPr/>
      <w:tcPr>
        <w:tcBorders>
          <w:left w:val="nil"/>
          <w:right w:val="nil"/>
          <w:insideH w:val="nil"/>
          <w:insideV w:val="nil"/>
        </w:tcBorders>
        <w:shd w:val="clear" w:color="auto" w:fill="FEF5F6" w:themeFill="accent5" w:themeFillTint="3F"/>
      </w:tcPr>
    </w:tblStylePr>
  </w:style>
  <w:style w:type="table" w:styleId="LightShading-Accent6">
    <w:name w:val="Light Shading Accent 6"/>
    <w:basedOn w:val="TableNormal"/>
    <w:uiPriority w:val="60"/>
    <w:pPr>
      <w:spacing w:after="0"/>
    </w:pPr>
    <w:rPr>
      <w:color w:val="53000F" w:themeColor="accent6" w:themeShade="BF"/>
    </w:rPr>
    <w:tblPr>
      <w:tblStyleRowBandSize w:val="1"/>
      <w:tblStyleColBandSize w:val="1"/>
      <w:tblBorders>
        <w:top w:val="single" w:sz="8" w:space="0" w:color="700015" w:themeColor="accent6"/>
        <w:bottom w:val="single" w:sz="8" w:space="0" w:color="700015" w:themeColor="accent6"/>
      </w:tblBorders>
    </w:tblPr>
    <w:tblStylePr w:type="firstRow">
      <w:pPr>
        <w:spacing w:before="0" w:after="0" w:line="240" w:lineRule="auto"/>
      </w:pPr>
      <w:rPr>
        <w:b/>
        <w:bCs/>
      </w:rPr>
      <w:tblPr/>
      <w:tcPr>
        <w:tcBorders>
          <w:top w:val="single" w:sz="8" w:space="0" w:color="700015" w:themeColor="accent6"/>
          <w:left w:val="nil"/>
          <w:bottom w:val="single" w:sz="8" w:space="0" w:color="700015" w:themeColor="accent6"/>
          <w:right w:val="nil"/>
          <w:insideH w:val="nil"/>
          <w:insideV w:val="nil"/>
        </w:tcBorders>
      </w:tcPr>
    </w:tblStylePr>
    <w:tblStylePr w:type="lastRow">
      <w:pPr>
        <w:spacing w:before="0" w:after="0" w:line="240" w:lineRule="auto"/>
      </w:pPr>
      <w:rPr>
        <w:b/>
        <w:bCs/>
      </w:rPr>
      <w:tblPr/>
      <w:tcPr>
        <w:tcBorders>
          <w:top w:val="single" w:sz="8" w:space="0" w:color="700015" w:themeColor="accent6"/>
          <w:left w:val="nil"/>
          <w:bottom w:val="single" w:sz="8" w:space="0" w:color="70001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AE" w:themeFill="accent6" w:themeFillTint="3F"/>
      </w:tcPr>
    </w:tblStylePr>
    <w:tblStylePr w:type="band1Horz">
      <w:tblPr/>
      <w:tcPr>
        <w:tcBorders>
          <w:left w:val="nil"/>
          <w:right w:val="nil"/>
          <w:insideH w:val="nil"/>
          <w:insideV w:val="nil"/>
        </w:tcBorders>
        <w:shd w:val="clear" w:color="auto" w:fill="FF9CAE"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列"/>
    <w:basedOn w:val="Normal"/>
    <w:link w:val="ListParagraphChar"/>
    <w:uiPriority w:val="1"/>
    <w:unhideWhenUsed/>
    <w:qFormat/>
    <w:rsid w:val="00EB6EB1"/>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pPr>
    <w:tblPr>
      <w:tblStyleRowBandSize w:val="1"/>
      <w:tblStyleColBandSize w:val="1"/>
      <w:tbl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single" w:sz="8" w:space="0" w:color="FFFFFF" w:themeColor="text1" w:themeTint="BF"/>
        <w:insideV w:val="single" w:sz="8" w:space="0" w:color="FFFFFF" w:themeColor="text1" w:themeTint="BF"/>
      </w:tblBorders>
    </w:tblPr>
    <w:tcPr>
      <w:shd w:val="clear" w:color="auto" w:fill="FFFFFF" w:themeFill="text1" w:themeFillTint="3F"/>
    </w:tcPr>
    <w:tblStylePr w:type="firstRow">
      <w:rPr>
        <w:b/>
        <w:bCs/>
      </w:rPr>
    </w:tblStylePr>
    <w:tblStylePr w:type="lastRow">
      <w:rPr>
        <w:b/>
        <w:bCs/>
      </w:rPr>
      <w:tblPr/>
      <w:tcPr>
        <w:tcBorders>
          <w:top w:val="single" w:sz="18" w:space="0" w:color="FFFFFF" w:themeColor="text1" w:themeTint="BF"/>
        </w:tcBorders>
      </w:tcPr>
    </w:tblStylePr>
    <w:tblStylePr w:type="firstCol">
      <w:rPr>
        <w:b/>
        <w:bCs/>
      </w:rPr>
    </w:tblStylePr>
    <w:tblStylePr w:type="lastCol">
      <w:rPr>
        <w:b/>
        <w:bCs/>
      </w:r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MediumGrid1-Accent1">
    <w:name w:val="Medium Grid 1 Accent 1"/>
    <w:basedOn w:val="TableNormal"/>
    <w:uiPriority w:val="67"/>
    <w:pPr>
      <w:spacing w:after="0"/>
    </w:pPr>
    <w:tblPr>
      <w:tblStyleRowBandSize w:val="1"/>
      <w:tblStyleColBandSize w:val="1"/>
      <w:tblBorders>
        <w:top w:val="single" w:sz="8" w:space="0" w:color="E7004D" w:themeColor="accent1" w:themeTint="BF"/>
        <w:left w:val="single" w:sz="8" w:space="0" w:color="E7004D" w:themeColor="accent1" w:themeTint="BF"/>
        <w:bottom w:val="single" w:sz="8" w:space="0" w:color="E7004D" w:themeColor="accent1" w:themeTint="BF"/>
        <w:right w:val="single" w:sz="8" w:space="0" w:color="E7004D" w:themeColor="accent1" w:themeTint="BF"/>
        <w:insideH w:val="single" w:sz="8" w:space="0" w:color="E7004D" w:themeColor="accent1" w:themeTint="BF"/>
        <w:insideV w:val="single" w:sz="8" w:space="0" w:color="E7004D" w:themeColor="accent1" w:themeTint="BF"/>
      </w:tblBorders>
    </w:tblPr>
    <w:tcPr>
      <w:shd w:val="clear" w:color="auto" w:fill="FFA3C1" w:themeFill="accent1" w:themeFillTint="3F"/>
    </w:tcPr>
    <w:tblStylePr w:type="firstRow">
      <w:rPr>
        <w:b/>
        <w:bCs/>
      </w:rPr>
    </w:tblStylePr>
    <w:tblStylePr w:type="lastRow">
      <w:rPr>
        <w:b/>
        <w:bCs/>
      </w:rPr>
      <w:tblPr/>
      <w:tcPr>
        <w:tcBorders>
          <w:top w:val="single" w:sz="18" w:space="0" w:color="E7004D" w:themeColor="accent1" w:themeTint="BF"/>
        </w:tcBorders>
      </w:tcPr>
    </w:tblStylePr>
    <w:tblStylePr w:type="firstCol">
      <w:rPr>
        <w:b/>
        <w:bCs/>
      </w:rPr>
    </w:tblStylePr>
    <w:tblStylePr w:type="lastCol">
      <w:rPr>
        <w:b/>
        <w:bCs/>
      </w:rPr>
    </w:tblStylePr>
    <w:tblStylePr w:type="band1Vert">
      <w:tblPr/>
      <w:tcPr>
        <w:shd w:val="clear" w:color="auto" w:fill="FF4583" w:themeFill="accent1" w:themeFillTint="7F"/>
      </w:tcPr>
    </w:tblStylePr>
    <w:tblStylePr w:type="band1Horz">
      <w:tblPr/>
      <w:tcPr>
        <w:shd w:val="clear" w:color="auto" w:fill="FF4583" w:themeFill="accent1" w:themeFillTint="7F"/>
      </w:tcPr>
    </w:tblStylePr>
  </w:style>
  <w:style w:type="table" w:styleId="MediumGrid1-Accent2">
    <w:name w:val="Medium Grid 1 Accent 2"/>
    <w:basedOn w:val="TableNormal"/>
    <w:uiPriority w:val="67"/>
    <w:pPr>
      <w:spacing w:after="0"/>
    </w:pPr>
    <w:tblPr>
      <w:tblStyleRowBandSize w:val="1"/>
      <w:tblStyleColBandSize w:val="1"/>
      <w:tblBorders>
        <w:top w:val="single" w:sz="8" w:space="0" w:color="EC0669" w:themeColor="accent2" w:themeTint="BF"/>
        <w:left w:val="single" w:sz="8" w:space="0" w:color="EC0669" w:themeColor="accent2" w:themeTint="BF"/>
        <w:bottom w:val="single" w:sz="8" w:space="0" w:color="EC0669" w:themeColor="accent2" w:themeTint="BF"/>
        <w:right w:val="single" w:sz="8" w:space="0" w:color="EC0669" w:themeColor="accent2" w:themeTint="BF"/>
        <w:insideH w:val="single" w:sz="8" w:space="0" w:color="EC0669" w:themeColor="accent2" w:themeTint="BF"/>
        <w:insideV w:val="single" w:sz="8" w:space="0" w:color="EC0669" w:themeColor="accent2" w:themeTint="BF"/>
      </w:tblBorders>
    </w:tblPr>
    <w:tcPr>
      <w:shd w:val="clear" w:color="auto" w:fill="FCA9CD" w:themeFill="accent2" w:themeFillTint="3F"/>
    </w:tcPr>
    <w:tblStylePr w:type="firstRow">
      <w:rPr>
        <w:b/>
        <w:bCs/>
      </w:rPr>
    </w:tblStylePr>
    <w:tblStylePr w:type="lastRow">
      <w:rPr>
        <w:b/>
        <w:bCs/>
      </w:rPr>
      <w:tblPr/>
      <w:tcPr>
        <w:tcBorders>
          <w:top w:val="single" w:sz="18" w:space="0" w:color="EC0669" w:themeColor="accent2" w:themeTint="BF"/>
        </w:tcBorders>
      </w:tcPr>
    </w:tblStylePr>
    <w:tblStylePr w:type="firstCol">
      <w:rPr>
        <w:b/>
        <w:bCs/>
      </w:rPr>
    </w:tblStylePr>
    <w:tblStylePr w:type="lastCol">
      <w:rPr>
        <w:b/>
        <w:bCs/>
      </w:rPr>
    </w:tblStylePr>
    <w:tblStylePr w:type="band1Vert">
      <w:tblPr/>
      <w:tcPr>
        <w:shd w:val="clear" w:color="auto" w:fill="FA529A" w:themeFill="accent2" w:themeFillTint="7F"/>
      </w:tcPr>
    </w:tblStylePr>
    <w:tblStylePr w:type="band1Horz">
      <w:tblPr/>
      <w:tcPr>
        <w:shd w:val="clear" w:color="auto" w:fill="FA529A" w:themeFill="accent2" w:themeFillTint="7F"/>
      </w:tcPr>
    </w:tblStylePr>
  </w:style>
  <w:style w:type="table" w:styleId="MediumGrid1-Accent3">
    <w:name w:val="Medium Grid 1 Accent 3"/>
    <w:basedOn w:val="TableNormal"/>
    <w:uiPriority w:val="67"/>
    <w:pPr>
      <w:spacing w:after="0"/>
    </w:pPr>
    <w:tblPr>
      <w:tblStyleRowBandSize w:val="1"/>
      <w:tblStyleColBandSize w:val="1"/>
      <w:tblBorders>
        <w:top w:val="single" w:sz="8" w:space="0" w:color="F80B70" w:themeColor="accent3" w:themeTint="BF"/>
        <w:left w:val="single" w:sz="8" w:space="0" w:color="F80B70" w:themeColor="accent3" w:themeTint="BF"/>
        <w:bottom w:val="single" w:sz="8" w:space="0" w:color="F80B70" w:themeColor="accent3" w:themeTint="BF"/>
        <w:right w:val="single" w:sz="8" w:space="0" w:color="F80B70" w:themeColor="accent3" w:themeTint="BF"/>
        <w:insideH w:val="single" w:sz="8" w:space="0" w:color="F80B70" w:themeColor="accent3" w:themeTint="BF"/>
        <w:insideV w:val="single" w:sz="8" w:space="0" w:color="F80B70" w:themeColor="accent3" w:themeTint="BF"/>
      </w:tblBorders>
    </w:tblPr>
    <w:tcPr>
      <w:shd w:val="clear" w:color="auto" w:fill="FCAED0" w:themeFill="accent3" w:themeFillTint="3F"/>
    </w:tcPr>
    <w:tblStylePr w:type="firstRow">
      <w:rPr>
        <w:b/>
        <w:bCs/>
      </w:rPr>
    </w:tblStylePr>
    <w:tblStylePr w:type="lastRow">
      <w:rPr>
        <w:b/>
        <w:bCs/>
      </w:rPr>
      <w:tblPr/>
      <w:tcPr>
        <w:tcBorders>
          <w:top w:val="single" w:sz="18" w:space="0" w:color="F80B70" w:themeColor="accent3" w:themeTint="BF"/>
        </w:tcBorders>
      </w:tcPr>
    </w:tblStylePr>
    <w:tblStylePr w:type="firstCol">
      <w:rPr>
        <w:b/>
        <w:bCs/>
      </w:rPr>
    </w:tblStylePr>
    <w:tblStylePr w:type="lastCol">
      <w:rPr>
        <w:b/>
        <w:bCs/>
      </w:rPr>
    </w:tblStylePr>
    <w:tblStylePr w:type="band1Vert">
      <w:tblPr/>
      <w:tcPr>
        <w:shd w:val="clear" w:color="auto" w:fill="FA5DA0" w:themeFill="accent3" w:themeFillTint="7F"/>
      </w:tcPr>
    </w:tblStylePr>
    <w:tblStylePr w:type="band1Horz">
      <w:tblPr/>
      <w:tcPr>
        <w:shd w:val="clear" w:color="auto" w:fill="FA5DA0" w:themeFill="accent3" w:themeFillTint="7F"/>
      </w:tcPr>
    </w:tblStylePr>
  </w:style>
  <w:style w:type="table" w:styleId="MediumGrid1-Accent4">
    <w:name w:val="Medium Grid 1 Accent 4"/>
    <w:basedOn w:val="TableNormal"/>
    <w:uiPriority w:val="67"/>
    <w:pPr>
      <w:spacing w:after="0"/>
    </w:pPr>
    <w:tblPr>
      <w:tblStyleRowBandSize w:val="1"/>
      <w:tblStyleColBandSize w:val="1"/>
      <w:tblBorders>
        <w:top w:val="single" w:sz="8" w:space="0" w:color="FFEDED" w:themeColor="accent4" w:themeTint="BF"/>
        <w:left w:val="single" w:sz="8" w:space="0" w:color="FFEDED" w:themeColor="accent4" w:themeTint="BF"/>
        <w:bottom w:val="single" w:sz="8" w:space="0" w:color="FFEDED" w:themeColor="accent4" w:themeTint="BF"/>
        <w:right w:val="single" w:sz="8" w:space="0" w:color="FFEDED" w:themeColor="accent4" w:themeTint="BF"/>
        <w:insideH w:val="single" w:sz="8" w:space="0" w:color="FFEDED" w:themeColor="accent4" w:themeTint="BF"/>
        <w:insideV w:val="single" w:sz="8" w:space="0" w:color="FFEDED" w:themeColor="accent4" w:themeTint="BF"/>
      </w:tblBorders>
    </w:tblPr>
    <w:tcPr>
      <w:shd w:val="clear" w:color="auto" w:fill="FFF9F9" w:themeFill="accent4" w:themeFillTint="3F"/>
    </w:tcPr>
    <w:tblStylePr w:type="firstRow">
      <w:rPr>
        <w:b/>
        <w:bCs/>
      </w:rPr>
    </w:tblStylePr>
    <w:tblStylePr w:type="lastRow">
      <w:rPr>
        <w:b/>
        <w:bCs/>
      </w:rPr>
      <w:tblPr/>
      <w:tcPr>
        <w:tcBorders>
          <w:top w:val="single" w:sz="18" w:space="0" w:color="FFEDED" w:themeColor="accent4" w:themeTint="BF"/>
        </w:tcBorders>
      </w:tcPr>
    </w:tblStylePr>
    <w:tblStylePr w:type="firstCol">
      <w:rPr>
        <w:b/>
        <w:bCs/>
      </w:rPr>
    </w:tblStylePr>
    <w:tblStylePr w:type="lastCol">
      <w:rPr>
        <w:b/>
        <w:bCs/>
      </w:rPr>
    </w:tblStylePr>
    <w:tblStylePr w:type="band1Vert">
      <w:tblPr/>
      <w:tcPr>
        <w:shd w:val="clear" w:color="auto" w:fill="FFF3F3" w:themeFill="accent4" w:themeFillTint="7F"/>
      </w:tcPr>
    </w:tblStylePr>
    <w:tblStylePr w:type="band1Horz">
      <w:tblPr/>
      <w:tcPr>
        <w:shd w:val="clear" w:color="auto" w:fill="FFF3F3" w:themeFill="accent4" w:themeFillTint="7F"/>
      </w:tcPr>
    </w:tblStylePr>
  </w:style>
  <w:style w:type="table" w:styleId="MediumGrid1-Accent5">
    <w:name w:val="Medium Grid 1 Accent 5"/>
    <w:basedOn w:val="TableNormal"/>
    <w:uiPriority w:val="67"/>
    <w:pPr>
      <w:spacing w:after="0"/>
    </w:pPr>
    <w:tblPr>
      <w:tblStyleRowBandSize w:val="1"/>
      <w:tblStyleColBandSize w:val="1"/>
      <w:tblBorders>
        <w:top w:val="single" w:sz="8" w:space="0" w:color="FEE3E5" w:themeColor="accent5" w:themeTint="BF"/>
        <w:left w:val="single" w:sz="8" w:space="0" w:color="FEE3E5" w:themeColor="accent5" w:themeTint="BF"/>
        <w:bottom w:val="single" w:sz="8" w:space="0" w:color="FEE3E5" w:themeColor="accent5" w:themeTint="BF"/>
        <w:right w:val="single" w:sz="8" w:space="0" w:color="FEE3E5" w:themeColor="accent5" w:themeTint="BF"/>
        <w:insideH w:val="single" w:sz="8" w:space="0" w:color="FEE3E5" w:themeColor="accent5" w:themeTint="BF"/>
        <w:insideV w:val="single" w:sz="8" w:space="0" w:color="FEE3E5" w:themeColor="accent5" w:themeTint="BF"/>
      </w:tblBorders>
    </w:tblPr>
    <w:tcPr>
      <w:shd w:val="clear" w:color="auto" w:fill="FEF5F6" w:themeFill="accent5" w:themeFillTint="3F"/>
    </w:tcPr>
    <w:tblStylePr w:type="firstRow">
      <w:rPr>
        <w:b/>
        <w:bCs/>
      </w:rPr>
    </w:tblStylePr>
    <w:tblStylePr w:type="lastRow">
      <w:rPr>
        <w:b/>
        <w:bCs/>
      </w:rPr>
      <w:tblPr/>
      <w:tcPr>
        <w:tcBorders>
          <w:top w:val="single" w:sz="18" w:space="0" w:color="FEE3E5" w:themeColor="accent5" w:themeTint="BF"/>
        </w:tcBorders>
      </w:tcPr>
    </w:tblStylePr>
    <w:tblStylePr w:type="firstCol">
      <w:rPr>
        <w:b/>
        <w:bCs/>
      </w:rPr>
    </w:tblStylePr>
    <w:tblStylePr w:type="lastCol">
      <w:rPr>
        <w:b/>
        <w:bCs/>
      </w:rPr>
    </w:tblStylePr>
    <w:tblStylePr w:type="band1Vert">
      <w:tblPr/>
      <w:tcPr>
        <w:shd w:val="clear" w:color="auto" w:fill="FEECED" w:themeFill="accent5" w:themeFillTint="7F"/>
      </w:tcPr>
    </w:tblStylePr>
    <w:tblStylePr w:type="band1Horz">
      <w:tblPr/>
      <w:tcPr>
        <w:shd w:val="clear" w:color="auto" w:fill="FEECED" w:themeFill="accent5" w:themeFillTint="7F"/>
      </w:tcPr>
    </w:tblStylePr>
  </w:style>
  <w:style w:type="table" w:styleId="MediumGrid1-Accent6">
    <w:name w:val="Medium Grid 1 Accent 6"/>
    <w:basedOn w:val="TableNormal"/>
    <w:uiPriority w:val="67"/>
    <w:pPr>
      <w:spacing w:after="0"/>
    </w:pPr>
    <w:tblPr>
      <w:tblStyleRowBandSize w:val="1"/>
      <w:tblStyleColBandSize w:val="1"/>
      <w:tblBorders>
        <w:top w:val="single" w:sz="8" w:space="0" w:color="D30027" w:themeColor="accent6" w:themeTint="BF"/>
        <w:left w:val="single" w:sz="8" w:space="0" w:color="D30027" w:themeColor="accent6" w:themeTint="BF"/>
        <w:bottom w:val="single" w:sz="8" w:space="0" w:color="D30027" w:themeColor="accent6" w:themeTint="BF"/>
        <w:right w:val="single" w:sz="8" w:space="0" w:color="D30027" w:themeColor="accent6" w:themeTint="BF"/>
        <w:insideH w:val="single" w:sz="8" w:space="0" w:color="D30027" w:themeColor="accent6" w:themeTint="BF"/>
        <w:insideV w:val="single" w:sz="8" w:space="0" w:color="D30027" w:themeColor="accent6" w:themeTint="BF"/>
      </w:tblBorders>
    </w:tblPr>
    <w:tcPr>
      <w:shd w:val="clear" w:color="auto" w:fill="FF9CAE" w:themeFill="accent6" w:themeFillTint="3F"/>
    </w:tcPr>
    <w:tblStylePr w:type="firstRow">
      <w:rPr>
        <w:b/>
        <w:bCs/>
      </w:rPr>
    </w:tblStylePr>
    <w:tblStylePr w:type="lastRow">
      <w:rPr>
        <w:b/>
        <w:bCs/>
      </w:rPr>
      <w:tblPr/>
      <w:tcPr>
        <w:tcBorders>
          <w:top w:val="single" w:sz="18" w:space="0" w:color="D30027" w:themeColor="accent6" w:themeTint="BF"/>
        </w:tcBorders>
      </w:tcPr>
    </w:tblStylePr>
    <w:tblStylePr w:type="firstCol">
      <w:rPr>
        <w:b/>
        <w:bCs/>
      </w:rPr>
    </w:tblStylePr>
    <w:tblStylePr w:type="lastCol">
      <w:rPr>
        <w:b/>
        <w:bCs/>
      </w:rPr>
    </w:tblStylePr>
    <w:tblStylePr w:type="band1Vert">
      <w:tblPr/>
      <w:tcPr>
        <w:shd w:val="clear" w:color="auto" w:fill="FF385D" w:themeFill="accent6" w:themeFillTint="7F"/>
      </w:tcPr>
    </w:tblStylePr>
    <w:tblStylePr w:type="band1Horz">
      <w:tblPr/>
      <w:tcPr>
        <w:shd w:val="clear" w:color="auto" w:fill="FF385D" w:themeFill="accent6" w:themeFillTint="7F"/>
      </w:tcPr>
    </w:tblStylePr>
  </w:style>
  <w:style w:type="table" w:styleId="MediumGrid2">
    <w:name w:val="Medium Grid 2"/>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cPr>
      <w:shd w:val="clear" w:color="auto" w:fill="FFFFFF" w:themeFill="text1" w:themeFillTint="3F"/>
    </w:tcPr>
    <w:tblStylePr w:type="firstRow">
      <w:rPr>
        <w:b/>
        <w:bCs/>
        <w:color w:val="FFFFFF" w:themeColor="text1"/>
      </w:rPr>
      <w:tblPr/>
      <w:tcPr>
        <w:shd w:val="clear" w:color="auto" w:fill="FFFFFF" w:themeFill="tex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FFFF" w:themeFill="text1" w:themeFillTint="33"/>
      </w:tcPr>
    </w:tblStylePr>
    <w:tblStylePr w:type="band1Vert">
      <w:tblPr/>
      <w:tcPr>
        <w:shd w:val="clear" w:color="auto" w:fill="FFFFFF" w:themeFill="text1" w:themeFillTint="7F"/>
      </w:tcPr>
    </w:tblStylePr>
    <w:tblStylePr w:type="band1Horz">
      <w:tblPr/>
      <w:tcPr>
        <w:tcBorders>
          <w:insideH w:val="single" w:sz="6" w:space="0" w:color="FFFFFF" w:themeColor="text1"/>
          <w:insideV w:val="single" w:sz="6" w:space="0" w:color="FFFFFF" w:themeColor="text1"/>
        </w:tcBorders>
        <w:shd w:val="clear" w:color="auto" w:fill="FFFF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8A002E" w:themeColor="accent1"/>
        <w:left w:val="single" w:sz="8" w:space="0" w:color="8A002E" w:themeColor="accent1"/>
        <w:bottom w:val="single" w:sz="8" w:space="0" w:color="8A002E" w:themeColor="accent1"/>
        <w:right w:val="single" w:sz="8" w:space="0" w:color="8A002E" w:themeColor="accent1"/>
        <w:insideH w:val="single" w:sz="8" w:space="0" w:color="8A002E" w:themeColor="accent1"/>
        <w:insideV w:val="single" w:sz="8" w:space="0" w:color="8A002E" w:themeColor="accent1"/>
      </w:tblBorders>
    </w:tblPr>
    <w:tcPr>
      <w:shd w:val="clear" w:color="auto" w:fill="FFA3C1" w:themeFill="accent1" w:themeFillTint="3F"/>
    </w:tcPr>
    <w:tblStylePr w:type="firstRow">
      <w:rPr>
        <w:b/>
        <w:bCs/>
        <w:color w:val="FFFFFF" w:themeColor="text1"/>
      </w:rPr>
      <w:tblPr/>
      <w:tcPr>
        <w:shd w:val="clear" w:color="auto" w:fill="FFDAE6" w:themeFill="accen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B4CD" w:themeFill="accent1" w:themeFillTint="33"/>
      </w:tcPr>
    </w:tblStylePr>
    <w:tblStylePr w:type="band1Vert">
      <w:tblPr/>
      <w:tcPr>
        <w:shd w:val="clear" w:color="auto" w:fill="FF4583" w:themeFill="accent1" w:themeFillTint="7F"/>
      </w:tcPr>
    </w:tblStylePr>
    <w:tblStylePr w:type="band1Horz">
      <w:tblPr/>
      <w:tcPr>
        <w:tcBorders>
          <w:insideH w:val="single" w:sz="6" w:space="0" w:color="8A002E" w:themeColor="accent1"/>
          <w:insideV w:val="single" w:sz="6" w:space="0" w:color="8A002E" w:themeColor="accent1"/>
        </w:tcBorders>
        <w:shd w:val="clear" w:color="auto" w:fill="FF458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960443" w:themeColor="accent2"/>
        <w:left w:val="single" w:sz="8" w:space="0" w:color="960443" w:themeColor="accent2"/>
        <w:bottom w:val="single" w:sz="8" w:space="0" w:color="960443" w:themeColor="accent2"/>
        <w:right w:val="single" w:sz="8" w:space="0" w:color="960443" w:themeColor="accent2"/>
        <w:insideH w:val="single" w:sz="8" w:space="0" w:color="960443" w:themeColor="accent2"/>
        <w:insideV w:val="single" w:sz="8" w:space="0" w:color="960443" w:themeColor="accent2"/>
      </w:tblBorders>
    </w:tblPr>
    <w:tcPr>
      <w:shd w:val="clear" w:color="auto" w:fill="FCA9CD" w:themeFill="accent2" w:themeFillTint="3F"/>
    </w:tcPr>
    <w:tblStylePr w:type="firstRow">
      <w:rPr>
        <w:b/>
        <w:bCs/>
        <w:color w:val="FFFFFF" w:themeColor="text1"/>
      </w:rPr>
      <w:tblPr/>
      <w:tcPr>
        <w:shd w:val="clear" w:color="auto" w:fill="FEDCEB" w:themeFill="accent2"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DB9D6" w:themeFill="accent2" w:themeFillTint="33"/>
      </w:tcPr>
    </w:tblStylePr>
    <w:tblStylePr w:type="band1Vert">
      <w:tblPr/>
      <w:tcPr>
        <w:shd w:val="clear" w:color="auto" w:fill="FA529A" w:themeFill="accent2" w:themeFillTint="7F"/>
      </w:tcPr>
    </w:tblStylePr>
    <w:tblStylePr w:type="band1Horz">
      <w:tblPr/>
      <w:tcPr>
        <w:tcBorders>
          <w:insideH w:val="single" w:sz="6" w:space="0" w:color="960443" w:themeColor="accent2"/>
          <w:insideV w:val="single" w:sz="6" w:space="0" w:color="960443" w:themeColor="accent2"/>
        </w:tcBorders>
        <w:shd w:val="clear" w:color="auto" w:fill="FA52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AB054C" w:themeColor="accent3"/>
        <w:left w:val="single" w:sz="8" w:space="0" w:color="AB054C" w:themeColor="accent3"/>
        <w:bottom w:val="single" w:sz="8" w:space="0" w:color="AB054C" w:themeColor="accent3"/>
        <w:right w:val="single" w:sz="8" w:space="0" w:color="AB054C" w:themeColor="accent3"/>
        <w:insideH w:val="single" w:sz="8" w:space="0" w:color="AB054C" w:themeColor="accent3"/>
        <w:insideV w:val="single" w:sz="8" w:space="0" w:color="AB054C" w:themeColor="accent3"/>
      </w:tblBorders>
    </w:tblPr>
    <w:tcPr>
      <w:shd w:val="clear" w:color="auto" w:fill="FCAED0" w:themeFill="accent3" w:themeFillTint="3F"/>
    </w:tcPr>
    <w:tblStylePr w:type="firstRow">
      <w:rPr>
        <w:b/>
        <w:bCs/>
        <w:color w:val="FFFFFF" w:themeColor="text1"/>
      </w:rPr>
      <w:tblPr/>
      <w:tcPr>
        <w:shd w:val="clear" w:color="auto" w:fill="FEDEEC" w:themeFill="accent3"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DBDD8" w:themeFill="accent3" w:themeFillTint="33"/>
      </w:tcPr>
    </w:tblStylePr>
    <w:tblStylePr w:type="band1Vert">
      <w:tblPr/>
      <w:tcPr>
        <w:shd w:val="clear" w:color="auto" w:fill="FA5DA0" w:themeFill="accent3" w:themeFillTint="7F"/>
      </w:tcPr>
    </w:tblStylePr>
    <w:tblStylePr w:type="band1Horz">
      <w:tblPr/>
      <w:tcPr>
        <w:tcBorders>
          <w:insideH w:val="single" w:sz="6" w:space="0" w:color="AB054C" w:themeColor="accent3"/>
          <w:insideV w:val="single" w:sz="6" w:space="0" w:color="AB054C" w:themeColor="accent3"/>
        </w:tcBorders>
        <w:shd w:val="clear" w:color="auto" w:fill="FA5DA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FE7E7" w:themeColor="accent4"/>
        <w:left w:val="single" w:sz="8" w:space="0" w:color="FFE7E7" w:themeColor="accent4"/>
        <w:bottom w:val="single" w:sz="8" w:space="0" w:color="FFE7E7" w:themeColor="accent4"/>
        <w:right w:val="single" w:sz="8" w:space="0" w:color="FFE7E7" w:themeColor="accent4"/>
        <w:insideH w:val="single" w:sz="8" w:space="0" w:color="FFE7E7" w:themeColor="accent4"/>
        <w:insideV w:val="single" w:sz="8" w:space="0" w:color="FFE7E7" w:themeColor="accent4"/>
      </w:tblBorders>
    </w:tblPr>
    <w:tcPr>
      <w:shd w:val="clear" w:color="auto" w:fill="FFF9F9" w:themeFill="accent4" w:themeFillTint="3F"/>
    </w:tcPr>
    <w:tblStylePr w:type="firstRow">
      <w:rPr>
        <w:b/>
        <w:bCs/>
        <w:color w:val="FFFFFF" w:themeColor="text1"/>
      </w:rPr>
      <w:tblPr/>
      <w:tcPr>
        <w:shd w:val="clear" w:color="auto" w:fill="FFFCFC" w:themeFill="accent4"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FAFA" w:themeFill="accent4" w:themeFillTint="33"/>
      </w:tcPr>
    </w:tblStylePr>
    <w:tblStylePr w:type="band1Vert">
      <w:tblPr/>
      <w:tcPr>
        <w:shd w:val="clear" w:color="auto" w:fill="FFF3F3" w:themeFill="accent4" w:themeFillTint="7F"/>
      </w:tcPr>
    </w:tblStylePr>
    <w:tblStylePr w:type="band1Horz">
      <w:tblPr/>
      <w:tcPr>
        <w:tcBorders>
          <w:insideH w:val="single" w:sz="6" w:space="0" w:color="FFE7E7" w:themeColor="accent4"/>
          <w:insideV w:val="single" w:sz="6" w:space="0" w:color="FFE7E7" w:themeColor="accent4"/>
        </w:tcBorders>
        <w:shd w:val="clear" w:color="auto" w:fill="FFF3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EDADD" w:themeColor="accent5"/>
        <w:left w:val="single" w:sz="8" w:space="0" w:color="FEDADD" w:themeColor="accent5"/>
        <w:bottom w:val="single" w:sz="8" w:space="0" w:color="FEDADD" w:themeColor="accent5"/>
        <w:right w:val="single" w:sz="8" w:space="0" w:color="FEDADD" w:themeColor="accent5"/>
        <w:insideH w:val="single" w:sz="8" w:space="0" w:color="FEDADD" w:themeColor="accent5"/>
        <w:insideV w:val="single" w:sz="8" w:space="0" w:color="FEDADD" w:themeColor="accent5"/>
      </w:tblBorders>
    </w:tblPr>
    <w:tcPr>
      <w:shd w:val="clear" w:color="auto" w:fill="FEF5F6" w:themeFill="accent5" w:themeFillTint="3F"/>
    </w:tcPr>
    <w:tblStylePr w:type="firstRow">
      <w:rPr>
        <w:b/>
        <w:bCs/>
        <w:color w:val="FFFFFF" w:themeColor="text1"/>
      </w:rPr>
      <w:tblPr/>
      <w:tcPr>
        <w:shd w:val="clear" w:color="auto" w:fill="FFFBFB" w:themeFill="accent5"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EF7F8" w:themeFill="accent5" w:themeFillTint="33"/>
      </w:tcPr>
    </w:tblStylePr>
    <w:tblStylePr w:type="band1Vert">
      <w:tblPr/>
      <w:tcPr>
        <w:shd w:val="clear" w:color="auto" w:fill="FEECED" w:themeFill="accent5" w:themeFillTint="7F"/>
      </w:tcPr>
    </w:tblStylePr>
    <w:tblStylePr w:type="band1Horz">
      <w:tblPr/>
      <w:tcPr>
        <w:tcBorders>
          <w:insideH w:val="single" w:sz="6" w:space="0" w:color="FEDADD" w:themeColor="accent5"/>
          <w:insideV w:val="single" w:sz="6" w:space="0" w:color="FEDADD" w:themeColor="accent5"/>
        </w:tcBorders>
        <w:shd w:val="clear" w:color="auto" w:fill="FEECE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pPr>
    <w:rPr>
      <w:rFonts w:asciiTheme="majorHAnsi" w:eastAsiaTheme="majorEastAsia" w:hAnsiTheme="majorHAnsi" w:cstheme="majorBidi"/>
      <w:color w:val="FFFFFF" w:themeColor="text1"/>
    </w:rPr>
    <w:tblPr>
      <w:tblStyleRowBandSize w:val="1"/>
      <w:tblStyleColBandSize w:val="1"/>
      <w:tblBorders>
        <w:top w:val="single" w:sz="8" w:space="0" w:color="700015" w:themeColor="accent6"/>
        <w:left w:val="single" w:sz="8" w:space="0" w:color="700015" w:themeColor="accent6"/>
        <w:bottom w:val="single" w:sz="8" w:space="0" w:color="700015" w:themeColor="accent6"/>
        <w:right w:val="single" w:sz="8" w:space="0" w:color="700015" w:themeColor="accent6"/>
        <w:insideH w:val="single" w:sz="8" w:space="0" w:color="700015" w:themeColor="accent6"/>
        <w:insideV w:val="single" w:sz="8" w:space="0" w:color="700015" w:themeColor="accent6"/>
      </w:tblBorders>
    </w:tblPr>
    <w:tcPr>
      <w:shd w:val="clear" w:color="auto" w:fill="FF9CAE" w:themeFill="accent6" w:themeFillTint="3F"/>
    </w:tcPr>
    <w:tblStylePr w:type="firstRow">
      <w:rPr>
        <w:b/>
        <w:bCs/>
        <w:color w:val="FFFFFF" w:themeColor="text1"/>
      </w:rPr>
      <w:tblPr/>
      <w:tcPr>
        <w:shd w:val="clear" w:color="auto" w:fill="FFD7DE" w:themeFill="accent6"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AFBE" w:themeFill="accent6" w:themeFillTint="33"/>
      </w:tcPr>
    </w:tblStylePr>
    <w:tblStylePr w:type="band1Vert">
      <w:tblPr/>
      <w:tcPr>
        <w:shd w:val="clear" w:color="auto" w:fill="FF385D" w:themeFill="accent6" w:themeFillTint="7F"/>
      </w:tcPr>
    </w:tblStylePr>
    <w:tblStylePr w:type="band1Horz">
      <w:tblPr/>
      <w:tcPr>
        <w:tcBorders>
          <w:insideH w:val="single" w:sz="6" w:space="0" w:color="700015" w:themeColor="accent6"/>
          <w:insideV w:val="single" w:sz="6" w:space="0" w:color="700015" w:themeColor="accent6"/>
        </w:tcBorders>
        <w:shd w:val="clear" w:color="auto" w:fill="FF385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text1" w:themeFillTint="7F"/>
      </w:tcPr>
    </w:tblStylePr>
  </w:style>
  <w:style w:type="table" w:styleId="MediumGrid3-Accent1">
    <w:name w:val="Medium Grid 3 Accent 1"/>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3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00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00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00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00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5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583" w:themeFill="accent1" w:themeFillTint="7F"/>
      </w:tcPr>
    </w:tblStylePr>
  </w:style>
  <w:style w:type="table" w:styleId="MediumGrid3-Accent2">
    <w:name w:val="Medium Grid 3 Accent 2"/>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A9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044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044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044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044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52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529A" w:themeFill="accent2" w:themeFillTint="7F"/>
      </w:tcPr>
    </w:tblStylePr>
  </w:style>
  <w:style w:type="table" w:styleId="MediumGrid3-Accent3">
    <w:name w:val="Medium Grid 3 Accent 3"/>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AE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054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054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054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054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5DA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5DA0" w:themeFill="accent3" w:themeFillTint="7F"/>
      </w:tcPr>
    </w:tblStylePr>
  </w:style>
  <w:style w:type="table" w:styleId="MediumGrid3-Accent4">
    <w:name w:val="Medium Grid 3 Accent 4"/>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F3" w:themeFill="accent4" w:themeFillTint="7F"/>
      </w:tcPr>
    </w:tblStylePr>
  </w:style>
  <w:style w:type="table" w:styleId="MediumGrid3-Accent5">
    <w:name w:val="Medium Grid 3 Accent 5"/>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ED" w:themeFill="accent5" w:themeFillTint="7F"/>
      </w:tcPr>
    </w:tblStylePr>
  </w:style>
  <w:style w:type="table" w:styleId="MediumGrid3-Accent6">
    <w:name w:val="Medium Grid 3 Accent 6"/>
    <w:basedOn w:val="TableNormal"/>
    <w:uiPriority w:val="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A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001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001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001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001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5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5D" w:themeFill="accent6" w:themeFillTint="7F"/>
      </w:tcPr>
    </w:tblStylePr>
  </w:style>
  <w:style w:type="table" w:styleId="MediumList1">
    <w:name w:val="Medium List 1"/>
    <w:basedOn w:val="TableNormal"/>
    <w:uiPriority w:val="65"/>
    <w:pPr>
      <w:spacing w:after="0"/>
    </w:pPr>
    <w:rPr>
      <w:color w:val="FFFFFF" w:themeColor="text1"/>
    </w:rPr>
    <w:tblPr>
      <w:tblStyleRowBandSize w:val="1"/>
      <w:tblStyleColBandSize w:val="1"/>
      <w:tblBorders>
        <w:top w:val="single" w:sz="8" w:space="0" w:color="FFFFFF" w:themeColor="text1"/>
        <w:bottom w:val="single" w:sz="8" w:space="0" w:color="FFFFFF" w:themeColor="text1"/>
      </w:tblBorders>
    </w:tblPr>
    <w:tblStylePr w:type="firstRow">
      <w:rPr>
        <w:rFonts w:asciiTheme="majorHAnsi" w:eastAsiaTheme="majorEastAsia" w:hAnsiTheme="majorHAnsi" w:cstheme="majorBidi"/>
      </w:rPr>
      <w:tblPr/>
      <w:tcPr>
        <w:tcBorders>
          <w:top w:val="nil"/>
          <w:bottom w:val="single" w:sz="8" w:space="0" w:color="FFFFFF" w:themeColor="text1"/>
        </w:tcBorders>
      </w:tcPr>
    </w:tblStylePr>
    <w:tblStylePr w:type="lastRow">
      <w:rPr>
        <w:b/>
        <w:bCs/>
        <w:color w:val="FFFFFF" w:themeColor="text2"/>
      </w:rPr>
      <w:tblPr/>
      <w:tcPr>
        <w:tcBorders>
          <w:top w:val="single" w:sz="8" w:space="0" w:color="FFFFFF" w:themeColor="text1"/>
          <w:bottom w:val="single" w:sz="8" w:space="0" w:color="FFFFFF" w:themeColor="text1"/>
        </w:tcBorders>
      </w:tcPr>
    </w:tblStylePr>
    <w:tblStylePr w:type="firstCol">
      <w:rPr>
        <w:b/>
        <w:bCs/>
      </w:rPr>
    </w:tblStylePr>
    <w:tblStylePr w:type="lastCol">
      <w:rPr>
        <w:b/>
        <w:bCs/>
      </w:rPr>
      <w:tblPr/>
      <w:tcPr>
        <w:tcBorders>
          <w:top w:val="single" w:sz="8" w:space="0" w:color="FFFFFF" w:themeColor="text1"/>
          <w:bottom w:val="single" w:sz="8" w:space="0" w:color="FFFFFF" w:themeColor="text1"/>
        </w:tcBorders>
      </w:tcPr>
    </w:tblStylePr>
    <w:tblStylePr w:type="band1Vert">
      <w:tblPr/>
      <w:tcPr>
        <w:shd w:val="clear" w:color="auto" w:fill="FFFFFF" w:themeFill="text1" w:themeFillTint="3F"/>
      </w:tcPr>
    </w:tblStylePr>
    <w:tblStylePr w:type="band1Horz">
      <w:tblPr/>
      <w:tcPr>
        <w:shd w:val="clear" w:color="auto" w:fill="FFFFFF" w:themeFill="text1" w:themeFillTint="3F"/>
      </w:tcPr>
    </w:tblStylePr>
  </w:style>
  <w:style w:type="table" w:styleId="MediumList1-Accent1">
    <w:name w:val="Medium List 1 Accent 1"/>
    <w:basedOn w:val="TableNormal"/>
    <w:uiPriority w:val="65"/>
    <w:pPr>
      <w:spacing w:after="0"/>
    </w:pPr>
    <w:rPr>
      <w:color w:val="FFFFFF" w:themeColor="text1"/>
    </w:rPr>
    <w:tblPr>
      <w:tblStyleRowBandSize w:val="1"/>
      <w:tblStyleColBandSize w:val="1"/>
      <w:tblBorders>
        <w:top w:val="single" w:sz="8" w:space="0" w:color="8A002E" w:themeColor="accent1"/>
        <w:bottom w:val="single" w:sz="8" w:space="0" w:color="8A002E" w:themeColor="accent1"/>
      </w:tblBorders>
    </w:tblPr>
    <w:tblStylePr w:type="firstRow">
      <w:rPr>
        <w:rFonts w:asciiTheme="majorHAnsi" w:eastAsiaTheme="majorEastAsia" w:hAnsiTheme="majorHAnsi" w:cstheme="majorBidi"/>
      </w:rPr>
      <w:tblPr/>
      <w:tcPr>
        <w:tcBorders>
          <w:top w:val="nil"/>
          <w:bottom w:val="single" w:sz="8" w:space="0" w:color="8A002E" w:themeColor="accent1"/>
        </w:tcBorders>
      </w:tcPr>
    </w:tblStylePr>
    <w:tblStylePr w:type="lastRow">
      <w:rPr>
        <w:b/>
        <w:bCs/>
        <w:color w:val="FFFFFF" w:themeColor="text2"/>
      </w:rPr>
      <w:tblPr/>
      <w:tcPr>
        <w:tcBorders>
          <w:top w:val="single" w:sz="8" w:space="0" w:color="8A002E" w:themeColor="accent1"/>
          <w:bottom w:val="single" w:sz="8" w:space="0" w:color="8A002E" w:themeColor="accent1"/>
        </w:tcBorders>
      </w:tcPr>
    </w:tblStylePr>
    <w:tblStylePr w:type="firstCol">
      <w:rPr>
        <w:b/>
        <w:bCs/>
      </w:rPr>
    </w:tblStylePr>
    <w:tblStylePr w:type="lastCol">
      <w:rPr>
        <w:b/>
        <w:bCs/>
      </w:rPr>
      <w:tblPr/>
      <w:tcPr>
        <w:tcBorders>
          <w:top w:val="single" w:sz="8" w:space="0" w:color="8A002E" w:themeColor="accent1"/>
          <w:bottom w:val="single" w:sz="8" w:space="0" w:color="8A002E" w:themeColor="accent1"/>
        </w:tcBorders>
      </w:tcPr>
    </w:tblStylePr>
    <w:tblStylePr w:type="band1Vert">
      <w:tblPr/>
      <w:tcPr>
        <w:shd w:val="clear" w:color="auto" w:fill="FFA3C1" w:themeFill="accent1" w:themeFillTint="3F"/>
      </w:tcPr>
    </w:tblStylePr>
    <w:tblStylePr w:type="band1Horz">
      <w:tblPr/>
      <w:tcPr>
        <w:shd w:val="clear" w:color="auto" w:fill="FFA3C1" w:themeFill="accent1" w:themeFillTint="3F"/>
      </w:tcPr>
    </w:tblStylePr>
  </w:style>
  <w:style w:type="table" w:styleId="MediumList1-Accent2">
    <w:name w:val="Medium List 1 Accent 2"/>
    <w:basedOn w:val="TableNormal"/>
    <w:uiPriority w:val="65"/>
    <w:pPr>
      <w:spacing w:after="0"/>
    </w:pPr>
    <w:rPr>
      <w:color w:val="FFFFFF" w:themeColor="text1"/>
    </w:rPr>
    <w:tblPr>
      <w:tblStyleRowBandSize w:val="1"/>
      <w:tblStyleColBandSize w:val="1"/>
      <w:tblBorders>
        <w:top w:val="single" w:sz="8" w:space="0" w:color="960443" w:themeColor="accent2"/>
        <w:bottom w:val="single" w:sz="8" w:space="0" w:color="960443" w:themeColor="accent2"/>
      </w:tblBorders>
    </w:tblPr>
    <w:tblStylePr w:type="firstRow">
      <w:rPr>
        <w:rFonts w:asciiTheme="majorHAnsi" w:eastAsiaTheme="majorEastAsia" w:hAnsiTheme="majorHAnsi" w:cstheme="majorBidi"/>
      </w:rPr>
      <w:tblPr/>
      <w:tcPr>
        <w:tcBorders>
          <w:top w:val="nil"/>
          <w:bottom w:val="single" w:sz="8" w:space="0" w:color="960443" w:themeColor="accent2"/>
        </w:tcBorders>
      </w:tcPr>
    </w:tblStylePr>
    <w:tblStylePr w:type="lastRow">
      <w:rPr>
        <w:b/>
        <w:bCs/>
        <w:color w:val="FFFFFF" w:themeColor="text2"/>
      </w:rPr>
      <w:tblPr/>
      <w:tcPr>
        <w:tcBorders>
          <w:top w:val="single" w:sz="8" w:space="0" w:color="960443" w:themeColor="accent2"/>
          <w:bottom w:val="single" w:sz="8" w:space="0" w:color="960443" w:themeColor="accent2"/>
        </w:tcBorders>
      </w:tcPr>
    </w:tblStylePr>
    <w:tblStylePr w:type="firstCol">
      <w:rPr>
        <w:b/>
        <w:bCs/>
      </w:rPr>
    </w:tblStylePr>
    <w:tblStylePr w:type="lastCol">
      <w:rPr>
        <w:b/>
        <w:bCs/>
      </w:rPr>
      <w:tblPr/>
      <w:tcPr>
        <w:tcBorders>
          <w:top w:val="single" w:sz="8" w:space="0" w:color="960443" w:themeColor="accent2"/>
          <w:bottom w:val="single" w:sz="8" w:space="0" w:color="960443" w:themeColor="accent2"/>
        </w:tcBorders>
      </w:tcPr>
    </w:tblStylePr>
    <w:tblStylePr w:type="band1Vert">
      <w:tblPr/>
      <w:tcPr>
        <w:shd w:val="clear" w:color="auto" w:fill="FCA9CD" w:themeFill="accent2" w:themeFillTint="3F"/>
      </w:tcPr>
    </w:tblStylePr>
    <w:tblStylePr w:type="band1Horz">
      <w:tblPr/>
      <w:tcPr>
        <w:shd w:val="clear" w:color="auto" w:fill="FCA9CD" w:themeFill="accent2" w:themeFillTint="3F"/>
      </w:tcPr>
    </w:tblStylePr>
  </w:style>
  <w:style w:type="table" w:styleId="MediumList1-Accent3">
    <w:name w:val="Medium List 1 Accent 3"/>
    <w:basedOn w:val="TableNormal"/>
    <w:uiPriority w:val="65"/>
    <w:pPr>
      <w:spacing w:after="0"/>
    </w:pPr>
    <w:rPr>
      <w:color w:val="FFFFFF" w:themeColor="text1"/>
    </w:rPr>
    <w:tblPr>
      <w:tblStyleRowBandSize w:val="1"/>
      <w:tblStyleColBandSize w:val="1"/>
      <w:tblBorders>
        <w:top w:val="single" w:sz="8" w:space="0" w:color="AB054C" w:themeColor="accent3"/>
        <w:bottom w:val="single" w:sz="8" w:space="0" w:color="AB054C" w:themeColor="accent3"/>
      </w:tblBorders>
    </w:tblPr>
    <w:tblStylePr w:type="firstRow">
      <w:rPr>
        <w:rFonts w:asciiTheme="majorHAnsi" w:eastAsiaTheme="majorEastAsia" w:hAnsiTheme="majorHAnsi" w:cstheme="majorBidi"/>
      </w:rPr>
      <w:tblPr/>
      <w:tcPr>
        <w:tcBorders>
          <w:top w:val="nil"/>
          <w:bottom w:val="single" w:sz="8" w:space="0" w:color="AB054C" w:themeColor="accent3"/>
        </w:tcBorders>
      </w:tcPr>
    </w:tblStylePr>
    <w:tblStylePr w:type="lastRow">
      <w:rPr>
        <w:b/>
        <w:bCs/>
        <w:color w:val="FFFFFF" w:themeColor="text2"/>
      </w:rPr>
      <w:tblPr/>
      <w:tcPr>
        <w:tcBorders>
          <w:top w:val="single" w:sz="8" w:space="0" w:color="AB054C" w:themeColor="accent3"/>
          <w:bottom w:val="single" w:sz="8" w:space="0" w:color="AB054C" w:themeColor="accent3"/>
        </w:tcBorders>
      </w:tcPr>
    </w:tblStylePr>
    <w:tblStylePr w:type="firstCol">
      <w:rPr>
        <w:b/>
        <w:bCs/>
      </w:rPr>
    </w:tblStylePr>
    <w:tblStylePr w:type="lastCol">
      <w:rPr>
        <w:b/>
        <w:bCs/>
      </w:rPr>
      <w:tblPr/>
      <w:tcPr>
        <w:tcBorders>
          <w:top w:val="single" w:sz="8" w:space="0" w:color="AB054C" w:themeColor="accent3"/>
          <w:bottom w:val="single" w:sz="8" w:space="0" w:color="AB054C" w:themeColor="accent3"/>
        </w:tcBorders>
      </w:tcPr>
    </w:tblStylePr>
    <w:tblStylePr w:type="band1Vert">
      <w:tblPr/>
      <w:tcPr>
        <w:shd w:val="clear" w:color="auto" w:fill="FCAED0" w:themeFill="accent3" w:themeFillTint="3F"/>
      </w:tcPr>
    </w:tblStylePr>
    <w:tblStylePr w:type="band1Horz">
      <w:tblPr/>
      <w:tcPr>
        <w:shd w:val="clear" w:color="auto" w:fill="FCAED0" w:themeFill="accent3" w:themeFillTint="3F"/>
      </w:tcPr>
    </w:tblStylePr>
  </w:style>
  <w:style w:type="table" w:styleId="MediumList1-Accent4">
    <w:name w:val="Medium List 1 Accent 4"/>
    <w:basedOn w:val="TableNormal"/>
    <w:uiPriority w:val="65"/>
    <w:pPr>
      <w:spacing w:after="0"/>
    </w:pPr>
    <w:rPr>
      <w:color w:val="FFFFFF" w:themeColor="text1"/>
    </w:rPr>
    <w:tblPr>
      <w:tblStyleRowBandSize w:val="1"/>
      <w:tblStyleColBandSize w:val="1"/>
      <w:tblBorders>
        <w:top w:val="single" w:sz="8" w:space="0" w:color="FFE7E7" w:themeColor="accent4"/>
        <w:bottom w:val="single" w:sz="8" w:space="0" w:color="FFE7E7" w:themeColor="accent4"/>
      </w:tblBorders>
    </w:tblPr>
    <w:tblStylePr w:type="firstRow">
      <w:rPr>
        <w:rFonts w:asciiTheme="majorHAnsi" w:eastAsiaTheme="majorEastAsia" w:hAnsiTheme="majorHAnsi" w:cstheme="majorBidi"/>
      </w:rPr>
      <w:tblPr/>
      <w:tcPr>
        <w:tcBorders>
          <w:top w:val="nil"/>
          <w:bottom w:val="single" w:sz="8" w:space="0" w:color="FFE7E7" w:themeColor="accent4"/>
        </w:tcBorders>
      </w:tcPr>
    </w:tblStylePr>
    <w:tblStylePr w:type="lastRow">
      <w:rPr>
        <w:b/>
        <w:bCs/>
        <w:color w:val="FFFFFF" w:themeColor="text2"/>
      </w:rPr>
      <w:tblPr/>
      <w:tcPr>
        <w:tcBorders>
          <w:top w:val="single" w:sz="8" w:space="0" w:color="FFE7E7" w:themeColor="accent4"/>
          <w:bottom w:val="single" w:sz="8" w:space="0" w:color="FFE7E7" w:themeColor="accent4"/>
        </w:tcBorders>
      </w:tcPr>
    </w:tblStylePr>
    <w:tblStylePr w:type="firstCol">
      <w:rPr>
        <w:b/>
        <w:bCs/>
      </w:rPr>
    </w:tblStylePr>
    <w:tblStylePr w:type="lastCol">
      <w:rPr>
        <w:b/>
        <w:bCs/>
      </w:rPr>
      <w:tblPr/>
      <w:tcPr>
        <w:tcBorders>
          <w:top w:val="single" w:sz="8" w:space="0" w:color="FFE7E7" w:themeColor="accent4"/>
          <w:bottom w:val="single" w:sz="8" w:space="0" w:color="FFE7E7" w:themeColor="accent4"/>
        </w:tcBorders>
      </w:tcPr>
    </w:tblStylePr>
    <w:tblStylePr w:type="band1Vert">
      <w:tblPr/>
      <w:tcPr>
        <w:shd w:val="clear" w:color="auto" w:fill="FFF9F9" w:themeFill="accent4" w:themeFillTint="3F"/>
      </w:tcPr>
    </w:tblStylePr>
    <w:tblStylePr w:type="band1Horz">
      <w:tblPr/>
      <w:tcPr>
        <w:shd w:val="clear" w:color="auto" w:fill="FFF9F9" w:themeFill="accent4" w:themeFillTint="3F"/>
      </w:tcPr>
    </w:tblStylePr>
  </w:style>
  <w:style w:type="table" w:styleId="MediumList1-Accent5">
    <w:name w:val="Medium List 1 Accent 5"/>
    <w:basedOn w:val="TableNormal"/>
    <w:uiPriority w:val="65"/>
    <w:pPr>
      <w:spacing w:after="0"/>
    </w:pPr>
    <w:rPr>
      <w:color w:val="FFFFFF" w:themeColor="text1"/>
    </w:rPr>
    <w:tblPr>
      <w:tblStyleRowBandSize w:val="1"/>
      <w:tblStyleColBandSize w:val="1"/>
      <w:tblBorders>
        <w:top w:val="single" w:sz="8" w:space="0" w:color="FEDADD" w:themeColor="accent5"/>
        <w:bottom w:val="single" w:sz="8" w:space="0" w:color="FEDADD" w:themeColor="accent5"/>
      </w:tblBorders>
    </w:tblPr>
    <w:tblStylePr w:type="firstRow">
      <w:rPr>
        <w:rFonts w:asciiTheme="majorHAnsi" w:eastAsiaTheme="majorEastAsia" w:hAnsiTheme="majorHAnsi" w:cstheme="majorBidi"/>
      </w:rPr>
      <w:tblPr/>
      <w:tcPr>
        <w:tcBorders>
          <w:top w:val="nil"/>
          <w:bottom w:val="single" w:sz="8" w:space="0" w:color="FEDADD" w:themeColor="accent5"/>
        </w:tcBorders>
      </w:tcPr>
    </w:tblStylePr>
    <w:tblStylePr w:type="lastRow">
      <w:rPr>
        <w:b/>
        <w:bCs/>
        <w:color w:val="FFFFFF" w:themeColor="text2"/>
      </w:rPr>
      <w:tblPr/>
      <w:tcPr>
        <w:tcBorders>
          <w:top w:val="single" w:sz="8" w:space="0" w:color="FEDADD" w:themeColor="accent5"/>
          <w:bottom w:val="single" w:sz="8" w:space="0" w:color="FEDADD" w:themeColor="accent5"/>
        </w:tcBorders>
      </w:tcPr>
    </w:tblStylePr>
    <w:tblStylePr w:type="firstCol">
      <w:rPr>
        <w:b/>
        <w:bCs/>
      </w:rPr>
    </w:tblStylePr>
    <w:tblStylePr w:type="lastCol">
      <w:rPr>
        <w:b/>
        <w:bCs/>
      </w:rPr>
      <w:tblPr/>
      <w:tcPr>
        <w:tcBorders>
          <w:top w:val="single" w:sz="8" w:space="0" w:color="FEDADD" w:themeColor="accent5"/>
          <w:bottom w:val="single" w:sz="8" w:space="0" w:color="FEDADD" w:themeColor="accent5"/>
        </w:tcBorders>
      </w:tcPr>
    </w:tblStylePr>
    <w:tblStylePr w:type="band1Vert">
      <w:tblPr/>
      <w:tcPr>
        <w:shd w:val="clear" w:color="auto" w:fill="FEF5F6" w:themeFill="accent5" w:themeFillTint="3F"/>
      </w:tcPr>
    </w:tblStylePr>
    <w:tblStylePr w:type="band1Horz">
      <w:tblPr/>
      <w:tcPr>
        <w:shd w:val="clear" w:color="auto" w:fill="FEF5F6" w:themeFill="accent5" w:themeFillTint="3F"/>
      </w:tcPr>
    </w:tblStylePr>
  </w:style>
  <w:style w:type="table" w:styleId="MediumList1-Accent6">
    <w:name w:val="Medium List 1 Accent 6"/>
    <w:basedOn w:val="TableNormal"/>
    <w:uiPriority w:val="65"/>
    <w:pPr>
      <w:spacing w:after="0"/>
    </w:pPr>
    <w:rPr>
      <w:color w:val="FFFFFF" w:themeColor="text1"/>
    </w:rPr>
    <w:tblPr>
      <w:tblStyleRowBandSize w:val="1"/>
      <w:tblStyleColBandSize w:val="1"/>
      <w:tblBorders>
        <w:top w:val="single" w:sz="8" w:space="0" w:color="700015" w:themeColor="accent6"/>
        <w:bottom w:val="single" w:sz="8" w:space="0" w:color="700015" w:themeColor="accent6"/>
      </w:tblBorders>
    </w:tblPr>
    <w:tblStylePr w:type="firstRow">
      <w:rPr>
        <w:rFonts w:asciiTheme="majorHAnsi" w:eastAsiaTheme="majorEastAsia" w:hAnsiTheme="majorHAnsi" w:cstheme="majorBidi"/>
      </w:rPr>
      <w:tblPr/>
      <w:tcPr>
        <w:tcBorders>
          <w:top w:val="nil"/>
          <w:bottom w:val="single" w:sz="8" w:space="0" w:color="700015" w:themeColor="accent6"/>
        </w:tcBorders>
      </w:tcPr>
    </w:tblStylePr>
    <w:tblStylePr w:type="lastRow">
      <w:rPr>
        <w:b/>
        <w:bCs/>
        <w:color w:val="FFFFFF" w:themeColor="text2"/>
      </w:rPr>
      <w:tblPr/>
      <w:tcPr>
        <w:tcBorders>
          <w:top w:val="single" w:sz="8" w:space="0" w:color="700015" w:themeColor="accent6"/>
          <w:bottom w:val="single" w:sz="8" w:space="0" w:color="700015" w:themeColor="accent6"/>
        </w:tcBorders>
      </w:tcPr>
    </w:tblStylePr>
    <w:tblStylePr w:type="firstCol">
      <w:rPr>
        <w:b/>
        <w:bCs/>
      </w:rPr>
    </w:tblStylePr>
    <w:tblStylePr w:type="lastCol">
      <w:rPr>
        <w:b/>
        <w:bCs/>
      </w:rPr>
      <w:tblPr/>
      <w:tcPr>
        <w:tcBorders>
          <w:top w:val="single" w:sz="8" w:space="0" w:color="700015" w:themeColor="accent6"/>
          <w:bottom w:val="single" w:sz="8" w:space="0" w:color="700015" w:themeColor="accent6"/>
        </w:tcBorders>
      </w:tcPr>
    </w:tblStylePr>
    <w:tblStylePr w:type="band1Vert">
      <w:tblPr/>
      <w:tcPr>
        <w:shd w:val="clear" w:color="auto" w:fill="FF9CAE" w:themeFill="accent6" w:themeFillTint="3F"/>
      </w:tcPr>
    </w:tblStylePr>
    <w:tblStylePr w:type="band1Horz">
      <w:tblPr/>
      <w:tcPr>
        <w:shd w:val="clear" w:color="auto" w:fill="FF9CAE" w:themeFill="accent6" w:themeFillTint="3F"/>
      </w:tcPr>
    </w:tblStylePr>
  </w:style>
  <w:style w:type="table" w:styleId="MediumList2">
    <w:name w:val="Medium List 2"/>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rPr>
        <w:sz w:val="24"/>
        <w:szCs w:val="24"/>
      </w:rPr>
      <w:tblPr/>
      <w:tcPr>
        <w:tcBorders>
          <w:top w:val="nil"/>
          <w:left w:val="nil"/>
          <w:bottom w:val="single" w:sz="24" w:space="0" w:color="FFFFFF" w:themeColor="text1"/>
          <w:right w:val="nil"/>
          <w:insideH w:val="nil"/>
          <w:insideV w:val="nil"/>
        </w:tcBorders>
        <w:shd w:val="clear" w:color="auto" w:fill="FFFFFF" w:themeFill="background1"/>
      </w:tcPr>
    </w:tblStylePr>
    <w:tblStylePr w:type="lastRow">
      <w:tblPr/>
      <w:tcPr>
        <w:tcBorders>
          <w:top w:val="single" w:sz="8" w:space="0" w:color="FFFFF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text1"/>
          <w:insideH w:val="nil"/>
          <w:insideV w:val="nil"/>
        </w:tcBorders>
        <w:shd w:val="clear" w:color="auto" w:fill="FFFFFF" w:themeFill="background1"/>
      </w:tcPr>
    </w:tblStylePr>
    <w:tblStylePr w:type="lastCol">
      <w:tblPr/>
      <w:tcPr>
        <w:tcBorders>
          <w:top w:val="nil"/>
          <w:left w:val="single" w:sz="8" w:space="0" w:color="FFFFF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top w:val="nil"/>
          <w:bottom w:val="nil"/>
          <w:insideH w:val="nil"/>
          <w:insideV w:val="nil"/>
        </w:tcBorders>
        <w:shd w:val="clear" w:color="auto" w:fill="FFFF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8A002E" w:themeColor="accent1"/>
        <w:left w:val="single" w:sz="8" w:space="0" w:color="8A002E" w:themeColor="accent1"/>
        <w:bottom w:val="single" w:sz="8" w:space="0" w:color="8A002E" w:themeColor="accent1"/>
        <w:right w:val="single" w:sz="8" w:space="0" w:color="8A002E" w:themeColor="accent1"/>
      </w:tblBorders>
    </w:tblPr>
    <w:tblStylePr w:type="firstRow">
      <w:rPr>
        <w:sz w:val="24"/>
        <w:szCs w:val="24"/>
      </w:rPr>
      <w:tblPr/>
      <w:tcPr>
        <w:tcBorders>
          <w:top w:val="nil"/>
          <w:left w:val="nil"/>
          <w:bottom w:val="single" w:sz="24" w:space="0" w:color="8A002E" w:themeColor="accent1"/>
          <w:right w:val="nil"/>
          <w:insideH w:val="nil"/>
          <w:insideV w:val="nil"/>
        </w:tcBorders>
        <w:shd w:val="clear" w:color="auto" w:fill="FFFFFF" w:themeFill="background1"/>
      </w:tcPr>
    </w:tblStylePr>
    <w:tblStylePr w:type="lastRow">
      <w:tblPr/>
      <w:tcPr>
        <w:tcBorders>
          <w:top w:val="single" w:sz="8" w:space="0" w:color="8A00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002E" w:themeColor="accent1"/>
          <w:insideH w:val="nil"/>
          <w:insideV w:val="nil"/>
        </w:tcBorders>
        <w:shd w:val="clear" w:color="auto" w:fill="FFFFFF" w:themeFill="background1"/>
      </w:tcPr>
    </w:tblStylePr>
    <w:tblStylePr w:type="lastCol">
      <w:tblPr/>
      <w:tcPr>
        <w:tcBorders>
          <w:top w:val="nil"/>
          <w:left w:val="single" w:sz="8" w:space="0" w:color="8A00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3C1" w:themeFill="accent1" w:themeFillTint="3F"/>
      </w:tcPr>
    </w:tblStylePr>
    <w:tblStylePr w:type="band1Horz">
      <w:tblPr/>
      <w:tcPr>
        <w:tcBorders>
          <w:top w:val="nil"/>
          <w:bottom w:val="nil"/>
          <w:insideH w:val="nil"/>
          <w:insideV w:val="nil"/>
        </w:tcBorders>
        <w:shd w:val="clear" w:color="auto" w:fill="FFA3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960443" w:themeColor="accent2"/>
        <w:left w:val="single" w:sz="8" w:space="0" w:color="960443" w:themeColor="accent2"/>
        <w:bottom w:val="single" w:sz="8" w:space="0" w:color="960443" w:themeColor="accent2"/>
        <w:right w:val="single" w:sz="8" w:space="0" w:color="960443" w:themeColor="accent2"/>
      </w:tblBorders>
    </w:tblPr>
    <w:tblStylePr w:type="firstRow">
      <w:rPr>
        <w:sz w:val="24"/>
        <w:szCs w:val="24"/>
      </w:rPr>
      <w:tblPr/>
      <w:tcPr>
        <w:tcBorders>
          <w:top w:val="nil"/>
          <w:left w:val="nil"/>
          <w:bottom w:val="single" w:sz="24" w:space="0" w:color="960443" w:themeColor="accent2"/>
          <w:right w:val="nil"/>
          <w:insideH w:val="nil"/>
          <w:insideV w:val="nil"/>
        </w:tcBorders>
        <w:shd w:val="clear" w:color="auto" w:fill="FFFFFF" w:themeFill="background1"/>
      </w:tcPr>
    </w:tblStylePr>
    <w:tblStylePr w:type="lastRow">
      <w:tblPr/>
      <w:tcPr>
        <w:tcBorders>
          <w:top w:val="single" w:sz="8" w:space="0" w:color="96044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0443" w:themeColor="accent2"/>
          <w:insideH w:val="nil"/>
          <w:insideV w:val="nil"/>
        </w:tcBorders>
        <w:shd w:val="clear" w:color="auto" w:fill="FFFFFF" w:themeFill="background1"/>
      </w:tcPr>
    </w:tblStylePr>
    <w:tblStylePr w:type="lastCol">
      <w:tblPr/>
      <w:tcPr>
        <w:tcBorders>
          <w:top w:val="nil"/>
          <w:left w:val="single" w:sz="8" w:space="0" w:color="96044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A9CD" w:themeFill="accent2" w:themeFillTint="3F"/>
      </w:tcPr>
    </w:tblStylePr>
    <w:tblStylePr w:type="band1Horz">
      <w:tblPr/>
      <w:tcPr>
        <w:tcBorders>
          <w:top w:val="nil"/>
          <w:bottom w:val="nil"/>
          <w:insideH w:val="nil"/>
          <w:insideV w:val="nil"/>
        </w:tcBorders>
        <w:shd w:val="clear" w:color="auto" w:fill="FCA9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AB054C" w:themeColor="accent3"/>
        <w:left w:val="single" w:sz="8" w:space="0" w:color="AB054C" w:themeColor="accent3"/>
        <w:bottom w:val="single" w:sz="8" w:space="0" w:color="AB054C" w:themeColor="accent3"/>
        <w:right w:val="single" w:sz="8" w:space="0" w:color="AB054C" w:themeColor="accent3"/>
      </w:tblBorders>
    </w:tblPr>
    <w:tblStylePr w:type="firstRow">
      <w:rPr>
        <w:sz w:val="24"/>
        <w:szCs w:val="24"/>
      </w:rPr>
      <w:tblPr/>
      <w:tcPr>
        <w:tcBorders>
          <w:top w:val="nil"/>
          <w:left w:val="nil"/>
          <w:bottom w:val="single" w:sz="24" w:space="0" w:color="AB054C" w:themeColor="accent3"/>
          <w:right w:val="nil"/>
          <w:insideH w:val="nil"/>
          <w:insideV w:val="nil"/>
        </w:tcBorders>
        <w:shd w:val="clear" w:color="auto" w:fill="FFFFFF" w:themeFill="background1"/>
      </w:tcPr>
    </w:tblStylePr>
    <w:tblStylePr w:type="lastRow">
      <w:tblPr/>
      <w:tcPr>
        <w:tcBorders>
          <w:top w:val="single" w:sz="8" w:space="0" w:color="AB054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054C" w:themeColor="accent3"/>
          <w:insideH w:val="nil"/>
          <w:insideV w:val="nil"/>
        </w:tcBorders>
        <w:shd w:val="clear" w:color="auto" w:fill="FFFFFF" w:themeFill="background1"/>
      </w:tcPr>
    </w:tblStylePr>
    <w:tblStylePr w:type="lastCol">
      <w:tblPr/>
      <w:tcPr>
        <w:tcBorders>
          <w:top w:val="nil"/>
          <w:left w:val="single" w:sz="8" w:space="0" w:color="AB054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AED0" w:themeFill="accent3" w:themeFillTint="3F"/>
      </w:tcPr>
    </w:tblStylePr>
    <w:tblStylePr w:type="band1Horz">
      <w:tblPr/>
      <w:tcPr>
        <w:tcBorders>
          <w:top w:val="nil"/>
          <w:bottom w:val="nil"/>
          <w:insideH w:val="nil"/>
          <w:insideV w:val="nil"/>
        </w:tcBorders>
        <w:shd w:val="clear" w:color="auto" w:fill="FCAE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FE7E7" w:themeColor="accent4"/>
        <w:left w:val="single" w:sz="8" w:space="0" w:color="FFE7E7" w:themeColor="accent4"/>
        <w:bottom w:val="single" w:sz="8" w:space="0" w:color="FFE7E7" w:themeColor="accent4"/>
        <w:right w:val="single" w:sz="8" w:space="0" w:color="FFE7E7" w:themeColor="accent4"/>
      </w:tblBorders>
    </w:tblPr>
    <w:tblStylePr w:type="firstRow">
      <w:rPr>
        <w:sz w:val="24"/>
        <w:szCs w:val="24"/>
      </w:rPr>
      <w:tblPr/>
      <w:tcPr>
        <w:tcBorders>
          <w:top w:val="nil"/>
          <w:left w:val="nil"/>
          <w:bottom w:val="single" w:sz="24" w:space="0" w:color="FFE7E7" w:themeColor="accent4"/>
          <w:right w:val="nil"/>
          <w:insideH w:val="nil"/>
          <w:insideV w:val="nil"/>
        </w:tcBorders>
        <w:shd w:val="clear" w:color="auto" w:fill="FFFFFF" w:themeFill="background1"/>
      </w:tcPr>
    </w:tblStylePr>
    <w:tblStylePr w:type="lastRow">
      <w:tblPr/>
      <w:tcPr>
        <w:tcBorders>
          <w:top w:val="single" w:sz="8" w:space="0" w:color="FFE7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E7" w:themeColor="accent4"/>
          <w:insideH w:val="nil"/>
          <w:insideV w:val="nil"/>
        </w:tcBorders>
        <w:shd w:val="clear" w:color="auto" w:fill="FFFFFF" w:themeFill="background1"/>
      </w:tcPr>
    </w:tblStylePr>
    <w:tblStylePr w:type="lastCol">
      <w:tblPr/>
      <w:tcPr>
        <w:tcBorders>
          <w:top w:val="nil"/>
          <w:left w:val="single" w:sz="8" w:space="0" w:color="FFE7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F9" w:themeFill="accent4" w:themeFillTint="3F"/>
      </w:tcPr>
    </w:tblStylePr>
    <w:tblStylePr w:type="band1Horz">
      <w:tblPr/>
      <w:tcPr>
        <w:tcBorders>
          <w:top w:val="nil"/>
          <w:bottom w:val="nil"/>
          <w:insideH w:val="nil"/>
          <w:insideV w:val="nil"/>
        </w:tcBorders>
        <w:shd w:val="clear" w:color="auto" w:fill="FFF9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FEDADD" w:themeColor="accent5"/>
        <w:left w:val="single" w:sz="8" w:space="0" w:color="FEDADD" w:themeColor="accent5"/>
        <w:bottom w:val="single" w:sz="8" w:space="0" w:color="FEDADD" w:themeColor="accent5"/>
        <w:right w:val="single" w:sz="8" w:space="0" w:color="FEDADD" w:themeColor="accent5"/>
      </w:tblBorders>
    </w:tblPr>
    <w:tblStylePr w:type="firstRow">
      <w:rPr>
        <w:sz w:val="24"/>
        <w:szCs w:val="24"/>
      </w:rPr>
      <w:tblPr/>
      <w:tcPr>
        <w:tcBorders>
          <w:top w:val="nil"/>
          <w:left w:val="nil"/>
          <w:bottom w:val="single" w:sz="24" w:space="0" w:color="FEDADD" w:themeColor="accent5"/>
          <w:right w:val="nil"/>
          <w:insideH w:val="nil"/>
          <w:insideV w:val="nil"/>
        </w:tcBorders>
        <w:shd w:val="clear" w:color="auto" w:fill="FFFFFF" w:themeFill="background1"/>
      </w:tcPr>
    </w:tblStylePr>
    <w:tblStylePr w:type="lastRow">
      <w:tblPr/>
      <w:tcPr>
        <w:tcBorders>
          <w:top w:val="single" w:sz="8" w:space="0" w:color="FEDA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DD" w:themeColor="accent5"/>
          <w:insideH w:val="nil"/>
          <w:insideV w:val="nil"/>
        </w:tcBorders>
        <w:shd w:val="clear" w:color="auto" w:fill="FFFFFF" w:themeFill="background1"/>
      </w:tcPr>
    </w:tblStylePr>
    <w:tblStylePr w:type="lastCol">
      <w:tblPr/>
      <w:tcPr>
        <w:tcBorders>
          <w:top w:val="nil"/>
          <w:left w:val="single" w:sz="8" w:space="0" w:color="FEDA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F6" w:themeFill="accent5" w:themeFillTint="3F"/>
      </w:tcPr>
    </w:tblStylePr>
    <w:tblStylePr w:type="band1Horz">
      <w:tblPr/>
      <w:tcPr>
        <w:tcBorders>
          <w:top w:val="nil"/>
          <w:bottom w:val="nil"/>
          <w:insideH w:val="nil"/>
          <w:insideV w:val="nil"/>
        </w:tcBorders>
        <w:shd w:val="clear" w:color="auto" w:fill="FEF5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pPr>
    <w:rPr>
      <w:rFonts w:asciiTheme="majorHAnsi" w:eastAsiaTheme="majorEastAsia" w:hAnsiTheme="majorHAnsi" w:cstheme="majorBidi"/>
      <w:color w:val="FFFFFF" w:themeColor="text1"/>
    </w:rPr>
    <w:tblPr>
      <w:tblStyleRowBandSize w:val="1"/>
      <w:tblStyleColBandSize w:val="1"/>
      <w:tblBorders>
        <w:top w:val="single" w:sz="8" w:space="0" w:color="700015" w:themeColor="accent6"/>
        <w:left w:val="single" w:sz="8" w:space="0" w:color="700015" w:themeColor="accent6"/>
        <w:bottom w:val="single" w:sz="8" w:space="0" w:color="700015" w:themeColor="accent6"/>
        <w:right w:val="single" w:sz="8" w:space="0" w:color="700015" w:themeColor="accent6"/>
      </w:tblBorders>
    </w:tblPr>
    <w:tblStylePr w:type="firstRow">
      <w:rPr>
        <w:sz w:val="24"/>
        <w:szCs w:val="24"/>
      </w:rPr>
      <w:tblPr/>
      <w:tcPr>
        <w:tcBorders>
          <w:top w:val="nil"/>
          <w:left w:val="nil"/>
          <w:bottom w:val="single" w:sz="24" w:space="0" w:color="700015" w:themeColor="accent6"/>
          <w:right w:val="nil"/>
          <w:insideH w:val="nil"/>
          <w:insideV w:val="nil"/>
        </w:tcBorders>
        <w:shd w:val="clear" w:color="auto" w:fill="FFFFFF" w:themeFill="background1"/>
      </w:tcPr>
    </w:tblStylePr>
    <w:tblStylePr w:type="lastRow">
      <w:tblPr/>
      <w:tcPr>
        <w:tcBorders>
          <w:top w:val="single" w:sz="8" w:space="0" w:color="70001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0015" w:themeColor="accent6"/>
          <w:insideH w:val="nil"/>
          <w:insideV w:val="nil"/>
        </w:tcBorders>
        <w:shd w:val="clear" w:color="auto" w:fill="FFFFFF" w:themeFill="background1"/>
      </w:tcPr>
    </w:tblStylePr>
    <w:tblStylePr w:type="lastCol">
      <w:tblPr/>
      <w:tcPr>
        <w:tcBorders>
          <w:top w:val="nil"/>
          <w:left w:val="single" w:sz="8" w:space="0" w:color="70001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AE" w:themeFill="accent6" w:themeFillTint="3F"/>
      </w:tcPr>
    </w:tblStylePr>
    <w:tblStylePr w:type="band1Horz">
      <w:tblPr/>
      <w:tcPr>
        <w:tcBorders>
          <w:top w:val="nil"/>
          <w:bottom w:val="nil"/>
          <w:insideH w:val="nil"/>
          <w:insideV w:val="nil"/>
        </w:tcBorders>
        <w:shd w:val="clear" w:color="auto" w:fill="FF9CA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pPr>
    <w:tblPr>
      <w:tblStyleRowBandSize w:val="1"/>
      <w:tblStyleColBandSize w:val="1"/>
      <w:tbl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single" w:sz="8" w:space="0" w:color="FFFFFF" w:themeColor="text1" w:themeTint="BF"/>
      </w:tblBorders>
    </w:tblPr>
    <w:tblStylePr w:type="firstRow">
      <w:pPr>
        <w:spacing w:before="0" w:after="0" w:line="240" w:lineRule="auto"/>
      </w:pPr>
      <w:rPr>
        <w:b/>
        <w:bCs/>
        <w:color w:val="FFFFFF" w:themeColor="background1"/>
      </w:rPr>
      <w:tblPr/>
      <w:tcPr>
        <w:tc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nil"/>
          <w:insideV w:val="nil"/>
        </w:tcBorders>
        <w:shd w:val="clear" w:color="auto" w:fill="FFFFFF" w:themeFill="text1"/>
      </w:tcPr>
    </w:tblStylePr>
    <w:tblStylePr w:type="lastRow">
      <w:pPr>
        <w:spacing w:before="0" w:after="0" w:line="240" w:lineRule="auto"/>
      </w:pPr>
      <w:rPr>
        <w:b/>
        <w:bCs/>
      </w:rPr>
      <w:tblPr/>
      <w:tcPr>
        <w:tcBorders>
          <w:top w:val="double" w:sz="6"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nil"/>
          <w:insideV w:val="nil"/>
        </w:tcBorders>
      </w:tcPr>
    </w:tblStylePr>
    <w:tblStylePr w:type="firstCol">
      <w:rPr>
        <w:b/>
        <w:bCs/>
      </w:rPr>
    </w:tblStylePr>
    <w:tblStylePr w:type="lastCol">
      <w:rPr>
        <w:b/>
        <w:bCs/>
      </w:rPr>
    </w:tblStylePr>
    <w:tblStylePr w:type="band1Vert">
      <w:tblPr/>
      <w:tcPr>
        <w:shd w:val="clear" w:color="auto" w:fill="FFFFFF" w:themeFill="text1" w:themeFillTint="3F"/>
      </w:tcPr>
    </w:tblStylePr>
    <w:tblStylePr w:type="band1Horz">
      <w:tblPr/>
      <w:tcPr>
        <w:tcBorders>
          <w:insideH w:val="nil"/>
          <w:insideV w:val="nil"/>
        </w:tcBorders>
        <w:shd w:val="clear" w:color="auto" w:fill="FFFF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pPr>
    <w:tblPr>
      <w:tblStyleRowBandSize w:val="1"/>
      <w:tblStyleColBandSize w:val="1"/>
      <w:tblBorders>
        <w:top w:val="single" w:sz="8" w:space="0" w:color="E7004D" w:themeColor="accent1" w:themeTint="BF"/>
        <w:left w:val="single" w:sz="8" w:space="0" w:color="E7004D" w:themeColor="accent1" w:themeTint="BF"/>
        <w:bottom w:val="single" w:sz="8" w:space="0" w:color="E7004D" w:themeColor="accent1" w:themeTint="BF"/>
        <w:right w:val="single" w:sz="8" w:space="0" w:color="E7004D" w:themeColor="accent1" w:themeTint="BF"/>
        <w:insideH w:val="single" w:sz="8" w:space="0" w:color="E7004D" w:themeColor="accent1" w:themeTint="BF"/>
      </w:tblBorders>
    </w:tblPr>
    <w:tblStylePr w:type="firstRow">
      <w:pPr>
        <w:spacing w:before="0" w:after="0" w:line="240" w:lineRule="auto"/>
      </w:pPr>
      <w:rPr>
        <w:b/>
        <w:bCs/>
        <w:color w:val="FFFFFF" w:themeColor="background1"/>
      </w:rPr>
      <w:tblPr/>
      <w:tcPr>
        <w:tcBorders>
          <w:top w:val="single" w:sz="8" w:space="0" w:color="E7004D" w:themeColor="accent1" w:themeTint="BF"/>
          <w:left w:val="single" w:sz="8" w:space="0" w:color="E7004D" w:themeColor="accent1" w:themeTint="BF"/>
          <w:bottom w:val="single" w:sz="8" w:space="0" w:color="E7004D" w:themeColor="accent1" w:themeTint="BF"/>
          <w:right w:val="single" w:sz="8" w:space="0" w:color="E7004D" w:themeColor="accent1" w:themeTint="BF"/>
          <w:insideH w:val="nil"/>
          <w:insideV w:val="nil"/>
        </w:tcBorders>
        <w:shd w:val="clear" w:color="auto" w:fill="8A002E" w:themeFill="accent1"/>
      </w:tcPr>
    </w:tblStylePr>
    <w:tblStylePr w:type="lastRow">
      <w:pPr>
        <w:spacing w:before="0" w:after="0" w:line="240" w:lineRule="auto"/>
      </w:pPr>
      <w:rPr>
        <w:b/>
        <w:bCs/>
      </w:rPr>
      <w:tblPr/>
      <w:tcPr>
        <w:tcBorders>
          <w:top w:val="double" w:sz="6" w:space="0" w:color="E7004D" w:themeColor="accent1" w:themeTint="BF"/>
          <w:left w:val="single" w:sz="8" w:space="0" w:color="E7004D" w:themeColor="accent1" w:themeTint="BF"/>
          <w:bottom w:val="single" w:sz="8" w:space="0" w:color="E7004D" w:themeColor="accent1" w:themeTint="BF"/>
          <w:right w:val="single" w:sz="8" w:space="0" w:color="E7004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3C1" w:themeFill="accent1" w:themeFillTint="3F"/>
      </w:tcPr>
    </w:tblStylePr>
    <w:tblStylePr w:type="band1Horz">
      <w:tblPr/>
      <w:tcPr>
        <w:tcBorders>
          <w:insideH w:val="nil"/>
          <w:insideV w:val="nil"/>
        </w:tcBorders>
        <w:shd w:val="clear" w:color="auto" w:fill="FFA3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pPr>
    <w:tblPr>
      <w:tblStyleRowBandSize w:val="1"/>
      <w:tblStyleColBandSize w:val="1"/>
      <w:tblBorders>
        <w:top w:val="single" w:sz="8" w:space="0" w:color="EC0669" w:themeColor="accent2" w:themeTint="BF"/>
        <w:left w:val="single" w:sz="8" w:space="0" w:color="EC0669" w:themeColor="accent2" w:themeTint="BF"/>
        <w:bottom w:val="single" w:sz="8" w:space="0" w:color="EC0669" w:themeColor="accent2" w:themeTint="BF"/>
        <w:right w:val="single" w:sz="8" w:space="0" w:color="EC0669" w:themeColor="accent2" w:themeTint="BF"/>
        <w:insideH w:val="single" w:sz="8" w:space="0" w:color="EC0669" w:themeColor="accent2" w:themeTint="BF"/>
      </w:tblBorders>
    </w:tblPr>
    <w:tblStylePr w:type="firstRow">
      <w:pPr>
        <w:spacing w:before="0" w:after="0" w:line="240" w:lineRule="auto"/>
      </w:pPr>
      <w:rPr>
        <w:b/>
        <w:bCs/>
        <w:color w:val="FFFFFF" w:themeColor="background1"/>
      </w:rPr>
      <w:tblPr/>
      <w:tcPr>
        <w:tcBorders>
          <w:top w:val="single" w:sz="8" w:space="0" w:color="EC0669" w:themeColor="accent2" w:themeTint="BF"/>
          <w:left w:val="single" w:sz="8" w:space="0" w:color="EC0669" w:themeColor="accent2" w:themeTint="BF"/>
          <w:bottom w:val="single" w:sz="8" w:space="0" w:color="EC0669" w:themeColor="accent2" w:themeTint="BF"/>
          <w:right w:val="single" w:sz="8" w:space="0" w:color="EC0669" w:themeColor="accent2" w:themeTint="BF"/>
          <w:insideH w:val="nil"/>
          <w:insideV w:val="nil"/>
        </w:tcBorders>
        <w:shd w:val="clear" w:color="auto" w:fill="960443" w:themeFill="accent2"/>
      </w:tcPr>
    </w:tblStylePr>
    <w:tblStylePr w:type="lastRow">
      <w:pPr>
        <w:spacing w:before="0" w:after="0" w:line="240" w:lineRule="auto"/>
      </w:pPr>
      <w:rPr>
        <w:b/>
        <w:bCs/>
      </w:rPr>
      <w:tblPr/>
      <w:tcPr>
        <w:tcBorders>
          <w:top w:val="double" w:sz="6" w:space="0" w:color="EC0669" w:themeColor="accent2" w:themeTint="BF"/>
          <w:left w:val="single" w:sz="8" w:space="0" w:color="EC0669" w:themeColor="accent2" w:themeTint="BF"/>
          <w:bottom w:val="single" w:sz="8" w:space="0" w:color="EC0669" w:themeColor="accent2" w:themeTint="BF"/>
          <w:right w:val="single" w:sz="8" w:space="0" w:color="EC06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A9CD" w:themeFill="accent2" w:themeFillTint="3F"/>
      </w:tcPr>
    </w:tblStylePr>
    <w:tblStylePr w:type="band1Horz">
      <w:tblPr/>
      <w:tcPr>
        <w:tcBorders>
          <w:insideH w:val="nil"/>
          <w:insideV w:val="nil"/>
        </w:tcBorders>
        <w:shd w:val="clear" w:color="auto" w:fill="FCA9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pPr>
    <w:tblPr>
      <w:tblStyleRowBandSize w:val="1"/>
      <w:tblStyleColBandSize w:val="1"/>
      <w:tblBorders>
        <w:top w:val="single" w:sz="8" w:space="0" w:color="F80B70" w:themeColor="accent3" w:themeTint="BF"/>
        <w:left w:val="single" w:sz="8" w:space="0" w:color="F80B70" w:themeColor="accent3" w:themeTint="BF"/>
        <w:bottom w:val="single" w:sz="8" w:space="0" w:color="F80B70" w:themeColor="accent3" w:themeTint="BF"/>
        <w:right w:val="single" w:sz="8" w:space="0" w:color="F80B70" w:themeColor="accent3" w:themeTint="BF"/>
        <w:insideH w:val="single" w:sz="8" w:space="0" w:color="F80B70" w:themeColor="accent3" w:themeTint="BF"/>
      </w:tblBorders>
    </w:tblPr>
    <w:tblStylePr w:type="firstRow">
      <w:pPr>
        <w:spacing w:before="0" w:after="0" w:line="240" w:lineRule="auto"/>
      </w:pPr>
      <w:rPr>
        <w:b/>
        <w:bCs/>
        <w:color w:val="FFFFFF" w:themeColor="background1"/>
      </w:rPr>
      <w:tblPr/>
      <w:tcPr>
        <w:tcBorders>
          <w:top w:val="single" w:sz="8" w:space="0" w:color="F80B70" w:themeColor="accent3" w:themeTint="BF"/>
          <w:left w:val="single" w:sz="8" w:space="0" w:color="F80B70" w:themeColor="accent3" w:themeTint="BF"/>
          <w:bottom w:val="single" w:sz="8" w:space="0" w:color="F80B70" w:themeColor="accent3" w:themeTint="BF"/>
          <w:right w:val="single" w:sz="8" w:space="0" w:color="F80B70" w:themeColor="accent3" w:themeTint="BF"/>
          <w:insideH w:val="nil"/>
          <w:insideV w:val="nil"/>
        </w:tcBorders>
        <w:shd w:val="clear" w:color="auto" w:fill="AB054C" w:themeFill="accent3"/>
      </w:tcPr>
    </w:tblStylePr>
    <w:tblStylePr w:type="lastRow">
      <w:pPr>
        <w:spacing w:before="0" w:after="0" w:line="240" w:lineRule="auto"/>
      </w:pPr>
      <w:rPr>
        <w:b/>
        <w:bCs/>
      </w:rPr>
      <w:tblPr/>
      <w:tcPr>
        <w:tcBorders>
          <w:top w:val="double" w:sz="6" w:space="0" w:color="F80B70" w:themeColor="accent3" w:themeTint="BF"/>
          <w:left w:val="single" w:sz="8" w:space="0" w:color="F80B70" w:themeColor="accent3" w:themeTint="BF"/>
          <w:bottom w:val="single" w:sz="8" w:space="0" w:color="F80B70" w:themeColor="accent3" w:themeTint="BF"/>
          <w:right w:val="single" w:sz="8" w:space="0" w:color="F80B7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AED0" w:themeFill="accent3" w:themeFillTint="3F"/>
      </w:tcPr>
    </w:tblStylePr>
    <w:tblStylePr w:type="band1Horz">
      <w:tblPr/>
      <w:tcPr>
        <w:tcBorders>
          <w:insideH w:val="nil"/>
          <w:insideV w:val="nil"/>
        </w:tcBorders>
        <w:shd w:val="clear" w:color="auto" w:fill="FCAED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pPr>
    <w:tblPr>
      <w:tblStyleRowBandSize w:val="1"/>
      <w:tblStyleColBandSize w:val="1"/>
      <w:tblBorders>
        <w:top w:val="single" w:sz="8" w:space="0" w:color="FFEDED" w:themeColor="accent4" w:themeTint="BF"/>
        <w:left w:val="single" w:sz="8" w:space="0" w:color="FFEDED" w:themeColor="accent4" w:themeTint="BF"/>
        <w:bottom w:val="single" w:sz="8" w:space="0" w:color="FFEDED" w:themeColor="accent4" w:themeTint="BF"/>
        <w:right w:val="single" w:sz="8" w:space="0" w:color="FFEDED" w:themeColor="accent4" w:themeTint="BF"/>
        <w:insideH w:val="single" w:sz="8" w:space="0" w:color="FFEDED" w:themeColor="accent4" w:themeTint="BF"/>
      </w:tblBorders>
    </w:tblPr>
    <w:tblStylePr w:type="firstRow">
      <w:pPr>
        <w:spacing w:before="0" w:after="0" w:line="240" w:lineRule="auto"/>
      </w:pPr>
      <w:rPr>
        <w:b/>
        <w:bCs/>
        <w:color w:val="FFFFFF" w:themeColor="background1"/>
      </w:rPr>
      <w:tblPr/>
      <w:tcPr>
        <w:tcBorders>
          <w:top w:val="single" w:sz="8" w:space="0" w:color="FFEDED" w:themeColor="accent4" w:themeTint="BF"/>
          <w:left w:val="single" w:sz="8" w:space="0" w:color="FFEDED" w:themeColor="accent4" w:themeTint="BF"/>
          <w:bottom w:val="single" w:sz="8" w:space="0" w:color="FFEDED" w:themeColor="accent4" w:themeTint="BF"/>
          <w:right w:val="single" w:sz="8" w:space="0" w:color="FFEDED" w:themeColor="accent4" w:themeTint="BF"/>
          <w:insideH w:val="nil"/>
          <w:insideV w:val="nil"/>
        </w:tcBorders>
        <w:shd w:val="clear" w:color="auto" w:fill="FFE7E7" w:themeFill="accent4"/>
      </w:tcPr>
    </w:tblStylePr>
    <w:tblStylePr w:type="lastRow">
      <w:pPr>
        <w:spacing w:before="0" w:after="0" w:line="240" w:lineRule="auto"/>
      </w:pPr>
      <w:rPr>
        <w:b/>
        <w:bCs/>
      </w:rPr>
      <w:tblPr/>
      <w:tcPr>
        <w:tcBorders>
          <w:top w:val="double" w:sz="6" w:space="0" w:color="FFEDED" w:themeColor="accent4" w:themeTint="BF"/>
          <w:left w:val="single" w:sz="8" w:space="0" w:color="FFEDED" w:themeColor="accent4" w:themeTint="BF"/>
          <w:bottom w:val="single" w:sz="8" w:space="0" w:color="FFEDED" w:themeColor="accent4" w:themeTint="BF"/>
          <w:right w:val="single" w:sz="8" w:space="0" w:color="FFED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9F9" w:themeFill="accent4" w:themeFillTint="3F"/>
      </w:tcPr>
    </w:tblStylePr>
    <w:tblStylePr w:type="band1Horz">
      <w:tblPr/>
      <w:tcPr>
        <w:tcBorders>
          <w:insideH w:val="nil"/>
          <w:insideV w:val="nil"/>
        </w:tcBorders>
        <w:shd w:val="clear" w:color="auto" w:fill="FFF9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pPr>
    <w:tblPr>
      <w:tblStyleRowBandSize w:val="1"/>
      <w:tblStyleColBandSize w:val="1"/>
      <w:tblBorders>
        <w:top w:val="single" w:sz="8" w:space="0" w:color="FEE3E5" w:themeColor="accent5" w:themeTint="BF"/>
        <w:left w:val="single" w:sz="8" w:space="0" w:color="FEE3E5" w:themeColor="accent5" w:themeTint="BF"/>
        <w:bottom w:val="single" w:sz="8" w:space="0" w:color="FEE3E5" w:themeColor="accent5" w:themeTint="BF"/>
        <w:right w:val="single" w:sz="8" w:space="0" w:color="FEE3E5" w:themeColor="accent5" w:themeTint="BF"/>
        <w:insideH w:val="single" w:sz="8" w:space="0" w:color="FEE3E5" w:themeColor="accent5" w:themeTint="BF"/>
      </w:tblBorders>
    </w:tblPr>
    <w:tblStylePr w:type="firstRow">
      <w:pPr>
        <w:spacing w:before="0" w:after="0" w:line="240" w:lineRule="auto"/>
      </w:pPr>
      <w:rPr>
        <w:b/>
        <w:bCs/>
        <w:color w:val="FFFFFF" w:themeColor="background1"/>
      </w:rPr>
      <w:tblPr/>
      <w:tcPr>
        <w:tcBorders>
          <w:top w:val="single" w:sz="8" w:space="0" w:color="FEE3E5" w:themeColor="accent5" w:themeTint="BF"/>
          <w:left w:val="single" w:sz="8" w:space="0" w:color="FEE3E5" w:themeColor="accent5" w:themeTint="BF"/>
          <w:bottom w:val="single" w:sz="8" w:space="0" w:color="FEE3E5" w:themeColor="accent5" w:themeTint="BF"/>
          <w:right w:val="single" w:sz="8" w:space="0" w:color="FEE3E5" w:themeColor="accent5" w:themeTint="BF"/>
          <w:insideH w:val="nil"/>
          <w:insideV w:val="nil"/>
        </w:tcBorders>
        <w:shd w:val="clear" w:color="auto" w:fill="FEDADD" w:themeFill="accent5"/>
      </w:tcPr>
    </w:tblStylePr>
    <w:tblStylePr w:type="lastRow">
      <w:pPr>
        <w:spacing w:before="0" w:after="0" w:line="240" w:lineRule="auto"/>
      </w:pPr>
      <w:rPr>
        <w:b/>
        <w:bCs/>
      </w:rPr>
      <w:tblPr/>
      <w:tcPr>
        <w:tcBorders>
          <w:top w:val="double" w:sz="6" w:space="0" w:color="FEE3E5" w:themeColor="accent5" w:themeTint="BF"/>
          <w:left w:val="single" w:sz="8" w:space="0" w:color="FEE3E5" w:themeColor="accent5" w:themeTint="BF"/>
          <w:bottom w:val="single" w:sz="8" w:space="0" w:color="FEE3E5" w:themeColor="accent5" w:themeTint="BF"/>
          <w:right w:val="single" w:sz="8" w:space="0" w:color="FEE3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5F6" w:themeFill="accent5" w:themeFillTint="3F"/>
      </w:tcPr>
    </w:tblStylePr>
    <w:tblStylePr w:type="band1Horz">
      <w:tblPr/>
      <w:tcPr>
        <w:tcBorders>
          <w:insideH w:val="nil"/>
          <w:insideV w:val="nil"/>
        </w:tcBorders>
        <w:shd w:val="clear" w:color="auto" w:fill="FEF5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pPr>
    <w:tblPr>
      <w:tblStyleRowBandSize w:val="1"/>
      <w:tblStyleColBandSize w:val="1"/>
      <w:tblBorders>
        <w:top w:val="single" w:sz="8" w:space="0" w:color="D30027" w:themeColor="accent6" w:themeTint="BF"/>
        <w:left w:val="single" w:sz="8" w:space="0" w:color="D30027" w:themeColor="accent6" w:themeTint="BF"/>
        <w:bottom w:val="single" w:sz="8" w:space="0" w:color="D30027" w:themeColor="accent6" w:themeTint="BF"/>
        <w:right w:val="single" w:sz="8" w:space="0" w:color="D30027" w:themeColor="accent6" w:themeTint="BF"/>
        <w:insideH w:val="single" w:sz="8" w:space="0" w:color="D30027" w:themeColor="accent6" w:themeTint="BF"/>
      </w:tblBorders>
    </w:tblPr>
    <w:tblStylePr w:type="firstRow">
      <w:pPr>
        <w:spacing w:before="0" w:after="0" w:line="240" w:lineRule="auto"/>
      </w:pPr>
      <w:rPr>
        <w:b/>
        <w:bCs/>
        <w:color w:val="FFFFFF" w:themeColor="background1"/>
      </w:rPr>
      <w:tblPr/>
      <w:tcPr>
        <w:tcBorders>
          <w:top w:val="single" w:sz="8" w:space="0" w:color="D30027" w:themeColor="accent6" w:themeTint="BF"/>
          <w:left w:val="single" w:sz="8" w:space="0" w:color="D30027" w:themeColor="accent6" w:themeTint="BF"/>
          <w:bottom w:val="single" w:sz="8" w:space="0" w:color="D30027" w:themeColor="accent6" w:themeTint="BF"/>
          <w:right w:val="single" w:sz="8" w:space="0" w:color="D30027" w:themeColor="accent6" w:themeTint="BF"/>
          <w:insideH w:val="nil"/>
          <w:insideV w:val="nil"/>
        </w:tcBorders>
        <w:shd w:val="clear" w:color="auto" w:fill="700015" w:themeFill="accent6"/>
      </w:tcPr>
    </w:tblStylePr>
    <w:tblStylePr w:type="lastRow">
      <w:pPr>
        <w:spacing w:before="0" w:after="0" w:line="240" w:lineRule="auto"/>
      </w:pPr>
      <w:rPr>
        <w:b/>
        <w:bCs/>
      </w:rPr>
      <w:tblPr/>
      <w:tcPr>
        <w:tcBorders>
          <w:top w:val="double" w:sz="6" w:space="0" w:color="D30027" w:themeColor="accent6" w:themeTint="BF"/>
          <w:left w:val="single" w:sz="8" w:space="0" w:color="D30027" w:themeColor="accent6" w:themeTint="BF"/>
          <w:bottom w:val="single" w:sz="8" w:space="0" w:color="D30027" w:themeColor="accent6" w:themeTint="BF"/>
          <w:right w:val="single" w:sz="8" w:space="0" w:color="D3002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9CAE" w:themeFill="accent6" w:themeFillTint="3F"/>
      </w:tcPr>
    </w:tblStylePr>
    <w:tblStylePr w:type="band1Horz">
      <w:tblPr/>
      <w:tcPr>
        <w:tcBorders>
          <w:insideH w:val="nil"/>
          <w:insideV w:val="nil"/>
        </w:tcBorders>
        <w:shd w:val="clear" w:color="auto" w:fill="FF9CA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text1"/>
      </w:tcPr>
    </w:tblStylePr>
    <w:tblStylePr w:type="lastCol">
      <w:rPr>
        <w:b/>
        <w:bCs/>
        <w:color w:val="FFFFFF" w:themeColor="background1"/>
      </w:rPr>
      <w:tblPr/>
      <w:tcPr>
        <w:tcBorders>
          <w:left w:val="nil"/>
          <w:right w:val="nil"/>
          <w:insideH w:val="nil"/>
          <w:insideV w:val="nil"/>
        </w:tcBorders>
        <w:shd w:val="clear" w:color="auto" w:fill="FFFFF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00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002E" w:themeFill="accent1"/>
      </w:tcPr>
    </w:tblStylePr>
    <w:tblStylePr w:type="lastCol">
      <w:rPr>
        <w:b/>
        <w:bCs/>
        <w:color w:val="FFFFFF" w:themeColor="background1"/>
      </w:rPr>
      <w:tblPr/>
      <w:tcPr>
        <w:tcBorders>
          <w:left w:val="nil"/>
          <w:right w:val="nil"/>
          <w:insideH w:val="nil"/>
          <w:insideV w:val="nil"/>
        </w:tcBorders>
        <w:shd w:val="clear" w:color="auto" w:fill="8A00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044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0443" w:themeFill="accent2"/>
      </w:tcPr>
    </w:tblStylePr>
    <w:tblStylePr w:type="lastCol">
      <w:rPr>
        <w:b/>
        <w:bCs/>
        <w:color w:val="FFFFFF" w:themeColor="background1"/>
      </w:rPr>
      <w:tblPr/>
      <w:tcPr>
        <w:tcBorders>
          <w:left w:val="nil"/>
          <w:right w:val="nil"/>
          <w:insideH w:val="nil"/>
          <w:insideV w:val="nil"/>
        </w:tcBorders>
        <w:shd w:val="clear" w:color="auto" w:fill="96044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054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054C" w:themeFill="accent3"/>
      </w:tcPr>
    </w:tblStylePr>
    <w:tblStylePr w:type="lastCol">
      <w:rPr>
        <w:b/>
        <w:bCs/>
        <w:color w:val="FFFFFF" w:themeColor="background1"/>
      </w:rPr>
      <w:tblPr/>
      <w:tcPr>
        <w:tcBorders>
          <w:left w:val="nil"/>
          <w:right w:val="nil"/>
          <w:insideH w:val="nil"/>
          <w:insideV w:val="nil"/>
        </w:tcBorders>
        <w:shd w:val="clear" w:color="auto" w:fill="AB05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E7" w:themeFill="accent4"/>
      </w:tcPr>
    </w:tblStylePr>
    <w:tblStylePr w:type="lastCol">
      <w:rPr>
        <w:b/>
        <w:bCs/>
        <w:color w:val="FFFFFF" w:themeColor="background1"/>
      </w:rPr>
      <w:tblPr/>
      <w:tcPr>
        <w:tcBorders>
          <w:left w:val="nil"/>
          <w:right w:val="nil"/>
          <w:insideH w:val="nil"/>
          <w:insideV w:val="nil"/>
        </w:tcBorders>
        <w:shd w:val="clear" w:color="auto" w:fill="FFE7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ADD" w:themeFill="accent5"/>
      </w:tcPr>
    </w:tblStylePr>
    <w:tblStylePr w:type="lastCol">
      <w:rPr>
        <w:b/>
        <w:bCs/>
        <w:color w:val="FFFFFF" w:themeColor="background1"/>
      </w:rPr>
      <w:tblPr/>
      <w:tcPr>
        <w:tcBorders>
          <w:left w:val="nil"/>
          <w:right w:val="nil"/>
          <w:insideH w:val="nil"/>
          <w:insideV w:val="nil"/>
        </w:tcBorders>
        <w:shd w:val="clear" w:color="auto" w:fill="FEDA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001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0015" w:themeFill="accent6"/>
      </w:tcPr>
    </w:tblStylePr>
    <w:tblStylePr w:type="lastCol">
      <w:rPr>
        <w:b/>
        <w:bCs/>
        <w:color w:val="FFFFFF" w:themeColor="background1"/>
      </w:rPr>
      <w:tblPr/>
      <w:tcPr>
        <w:tcBorders>
          <w:left w:val="nil"/>
          <w:right w:val="nil"/>
          <w:insideH w:val="nil"/>
          <w:insideV w:val="nil"/>
        </w:tcBorders>
        <w:shd w:val="clear" w:color="auto" w:fill="70001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sid w:val="009A5A23"/>
    <w:rPr>
      <w:rFonts w:asciiTheme="majorHAnsi" w:hAnsiTheme="majorHAnsi"/>
      <w:b/>
      <w:bCs/>
      <w:i/>
      <w:sz w:val="28"/>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8A002E"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8A002E" w:themeColor="accent1"/>
      <w:kern w:val="20"/>
      <w:sz w:val="64"/>
    </w:rPr>
  </w:style>
  <w:style w:type="character" w:styleId="SubtleEmphasis">
    <w:name w:val="Subtle Emphasis"/>
    <w:basedOn w:val="DefaultParagraphFont"/>
    <w:uiPriority w:val="19"/>
    <w:semiHidden/>
    <w:unhideWhenUsed/>
    <w:rPr>
      <w:i/>
      <w:iCs/>
      <w:color w:val="FFFFFF" w:themeColor="text1" w:themeTint="7F"/>
    </w:rPr>
  </w:style>
  <w:style w:type="character" w:styleId="SubtleReference">
    <w:name w:val="Subtle Reference"/>
    <w:basedOn w:val="DefaultParagraphFont"/>
    <w:uiPriority w:val="31"/>
    <w:semiHidden/>
    <w:unhideWhenUsed/>
    <w:rPr>
      <w:smallCaps/>
      <w:color w:val="960443"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8A002E" w:themeColor="accent1"/>
        <w:left w:val="single" w:sz="4" w:space="5" w:color="8A002E" w:themeColor="accent1"/>
        <w:bottom w:val="single" w:sz="4" w:space="10" w:color="8A002E" w:themeColor="accent1"/>
        <w:right w:val="single" w:sz="4" w:space="5" w:color="8A002E" w:themeColor="accent1"/>
      </w:pBdr>
      <w:shd w:val="clear" w:color="auto" w:fill="8A002E"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8A002E" w:themeFill="accent1"/>
      <w14:ligatures w14:val="standardContextual"/>
    </w:rPr>
  </w:style>
  <w:style w:type="paragraph" w:styleId="TOAHeading">
    <w:name w:val="toa heading"/>
    <w:basedOn w:val="Normal"/>
    <w:next w:val="Normal"/>
    <w:uiPriority w:val="99"/>
    <w:semiHidden/>
    <w:unhideWhenUsed/>
    <w:rPr>
      <w:rFonts w:asciiTheme="majorHAnsi" w:eastAsiaTheme="majorEastAsia" w:hAnsiTheme="majorHAnsi" w:cstheme="majorBidi"/>
      <w:b/>
      <w:bCs/>
      <w:sz w:val="24"/>
    </w:rPr>
  </w:style>
  <w:style w:type="paragraph" w:styleId="TOC1">
    <w:name w:val="toc 1"/>
    <w:basedOn w:val="Normal"/>
    <w:next w:val="Normal"/>
    <w:link w:val="TOC1Char"/>
    <w:autoRedefine/>
    <w:uiPriority w:val="39"/>
    <w:unhideWhenUsed/>
    <w:qFormat/>
    <w:rsid w:val="000636FA"/>
    <w:rPr>
      <w:b/>
      <w:bCs/>
      <w:sz w:val="24"/>
    </w:rPr>
  </w:style>
  <w:style w:type="paragraph" w:styleId="TOC2">
    <w:name w:val="toc 2"/>
    <w:basedOn w:val="Normal"/>
    <w:next w:val="Normal"/>
    <w:autoRedefine/>
    <w:uiPriority w:val="39"/>
    <w:unhideWhenUsed/>
    <w:rsid w:val="005920B4"/>
    <w:pPr>
      <w:tabs>
        <w:tab w:val="right" w:leader="dot" w:pos="9923"/>
      </w:tabs>
      <w:spacing w:before="0" w:after="0"/>
    </w:pPr>
    <w:rPr>
      <w:noProof/>
    </w:rPr>
  </w:style>
  <w:style w:type="paragraph" w:styleId="TOC3">
    <w:name w:val="toc 3"/>
    <w:basedOn w:val="Normal"/>
    <w:next w:val="Normal"/>
    <w:autoRedefine/>
    <w:uiPriority w:val="39"/>
    <w:unhideWhenUsed/>
    <w:rsid w:val="00B122E9"/>
    <w:pPr>
      <w:tabs>
        <w:tab w:val="right" w:leader="dot" w:pos="9962"/>
      </w:tabs>
      <w:spacing w:before="0" w:after="0"/>
      <w:ind w:left="400"/>
    </w:pPr>
    <w:rPr>
      <w:i/>
      <w:iCs/>
    </w:rPr>
  </w:style>
  <w:style w:type="paragraph" w:styleId="TOC4">
    <w:name w:val="toc 4"/>
    <w:basedOn w:val="Normal"/>
    <w:next w:val="Normal"/>
    <w:autoRedefine/>
    <w:uiPriority w:val="39"/>
    <w:unhideWhenUsed/>
    <w:qFormat/>
    <w:rsid w:val="00FE3BA8"/>
    <w:pPr>
      <w:spacing w:before="0" w:after="0"/>
      <w:ind w:left="600"/>
    </w:pPr>
    <w:rPr>
      <w:szCs w:val="18"/>
    </w:rPr>
  </w:style>
  <w:style w:type="paragraph" w:styleId="TOC5">
    <w:name w:val="toc 5"/>
    <w:basedOn w:val="Normal"/>
    <w:next w:val="Normal"/>
    <w:autoRedefine/>
    <w:uiPriority w:val="39"/>
    <w:unhideWhenUsed/>
    <w:pPr>
      <w:spacing w:before="0" w:after="0"/>
      <w:ind w:left="800"/>
    </w:pPr>
    <w:rPr>
      <w:sz w:val="18"/>
      <w:szCs w:val="18"/>
    </w:rPr>
  </w:style>
  <w:style w:type="paragraph" w:styleId="TOC6">
    <w:name w:val="toc 6"/>
    <w:basedOn w:val="Normal"/>
    <w:next w:val="Normal"/>
    <w:autoRedefine/>
    <w:uiPriority w:val="39"/>
    <w:unhideWhenUsed/>
    <w:pPr>
      <w:spacing w:before="0" w:after="0"/>
      <w:ind w:left="1000"/>
    </w:pPr>
    <w:rPr>
      <w:sz w:val="18"/>
      <w:szCs w:val="18"/>
    </w:rPr>
  </w:style>
  <w:style w:type="paragraph" w:styleId="TOC7">
    <w:name w:val="toc 7"/>
    <w:basedOn w:val="Normal"/>
    <w:next w:val="Normal"/>
    <w:autoRedefine/>
    <w:uiPriority w:val="39"/>
    <w:unhideWhenUsed/>
    <w:pPr>
      <w:spacing w:before="0" w:after="0"/>
      <w:ind w:left="1200"/>
    </w:pPr>
    <w:rPr>
      <w:sz w:val="18"/>
      <w:szCs w:val="18"/>
    </w:rPr>
  </w:style>
  <w:style w:type="paragraph" w:styleId="TOC8">
    <w:name w:val="toc 8"/>
    <w:basedOn w:val="Normal"/>
    <w:next w:val="Normal"/>
    <w:autoRedefine/>
    <w:uiPriority w:val="39"/>
    <w:unhideWhenUsed/>
    <w:pPr>
      <w:spacing w:before="0" w:after="0"/>
      <w:ind w:left="1400"/>
    </w:pPr>
    <w:rPr>
      <w:sz w:val="18"/>
      <w:szCs w:val="18"/>
    </w:rPr>
  </w:style>
  <w:style w:type="paragraph" w:styleId="TOC9">
    <w:name w:val="toc 9"/>
    <w:basedOn w:val="Normal"/>
    <w:next w:val="Normal"/>
    <w:autoRedefine/>
    <w:uiPriority w:val="39"/>
    <w:unhideWhenUsed/>
    <w:pPr>
      <w:spacing w:before="0" w:after="0"/>
      <w:ind w:left="1600"/>
    </w:pPr>
    <w:rPr>
      <w:sz w:val="18"/>
      <w:szCs w:val="18"/>
    </w:rPr>
  </w:style>
  <w:style w:type="paragraph" w:styleId="TOCHeading">
    <w:name w:val="TOC Heading"/>
    <w:basedOn w:val="Heading1"/>
    <w:next w:val="Normal"/>
    <w:uiPriority w:val="39"/>
    <w:unhideWhenUsed/>
    <w:qFormat/>
    <w:rsid w:val="008F1BA6"/>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8A002E" w:themeColor="accent1"/>
        <w:left w:val="single" w:sz="4" w:space="6" w:color="8A002E" w:themeColor="accent1"/>
        <w:bottom w:val="single" w:sz="4" w:space="1" w:color="8A002E" w:themeColor="accent1"/>
        <w:right w:val="single" w:sz="4" w:space="6" w:color="8A002E" w:themeColor="accent1"/>
      </w:pBdr>
      <w:shd w:val="clear" w:color="auto" w:fill="8A002E"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ind w:left="144" w:right="144"/>
    </w:pPr>
  </w:style>
  <w:style w:type="table" w:customStyle="1" w:styleId="FinancialTable">
    <w:name w:val="Financial Table"/>
    <w:basedOn w:val="TableNormal"/>
    <w:uiPriority w:val="99"/>
    <w:pPr>
      <w:spacing w:after="0"/>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8A002E"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FFFFFF" w:themeColor="text1" w:themeTint="80"/>
      <w:sz w:val="28"/>
    </w:rPr>
  </w:style>
  <w:style w:type="paragraph" w:customStyle="1" w:styleId="TableText">
    <w:name w:val="Table Text"/>
    <w:basedOn w:val="Normal"/>
    <w:uiPriority w:val="9"/>
    <w:qFormat/>
    <w:pPr>
      <w:spacing w:before="60" w:after="60"/>
      <w:ind w:left="144" w:right="144"/>
    </w:pPr>
  </w:style>
  <w:style w:type="paragraph" w:customStyle="1" w:styleId="TableReverseHeading">
    <w:name w:val="Table Reverse Heading"/>
    <w:basedOn w:val="Normal"/>
    <w:uiPriority w:val="9"/>
    <w:qFormat/>
    <w:pPr>
      <w:spacing w:after="40"/>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8A002E" w:themeColor="accent1"/>
        <w:left w:val="single" w:sz="2" w:space="6" w:color="8A002E" w:themeColor="accent1"/>
        <w:bottom w:val="single" w:sz="2" w:space="2" w:color="8A002E" w:themeColor="accent1"/>
        <w:right w:val="single" w:sz="2" w:space="6" w:color="8A002E" w:themeColor="accent1"/>
      </w:pBdr>
      <w:shd w:val="clear" w:color="auto" w:fill="8A002E" w:themeFill="accent1"/>
      <w:spacing w:after="0"/>
      <w:ind w:left="-360" w:right="-360"/>
    </w:pPr>
    <w:rPr>
      <w:rFonts w:asciiTheme="majorHAnsi" w:eastAsiaTheme="majorEastAsia" w:hAnsiTheme="majorHAnsi" w:cstheme="majorBidi"/>
      <w:caps/>
      <w:color w:val="FFFFFF" w:themeColor="background1"/>
      <w:sz w:val="48"/>
    </w:rPr>
  </w:style>
  <w:style w:type="paragraph" w:customStyle="1" w:styleId="ANR4">
    <w:name w:val="ANR4"/>
    <w:basedOn w:val="Normal"/>
    <w:link w:val="ANR4Char"/>
    <w:rsid w:val="000E59B7"/>
    <w:pPr>
      <w:spacing w:before="0" w:after="0"/>
    </w:pPr>
    <w:rPr>
      <w:rFonts w:eastAsia="Calibri"/>
      <w:b/>
      <w:kern w:val="0"/>
      <w:szCs w:val="22"/>
      <w:lang w:val="en-AU" w:eastAsia="en-US"/>
    </w:rPr>
  </w:style>
  <w:style w:type="character" w:customStyle="1" w:styleId="ANR4Char">
    <w:name w:val="ANR4 Char"/>
    <w:link w:val="ANR4"/>
    <w:rsid w:val="000E59B7"/>
    <w:rPr>
      <w:rFonts w:ascii="Arial" w:eastAsia="Calibri" w:hAnsi="Arial" w:cs="Arial"/>
      <w:b/>
      <w:color w:val="auto"/>
      <w:sz w:val="22"/>
      <w:szCs w:val="22"/>
      <w:lang w:val="en-AU" w:eastAsia="en-US"/>
    </w:rPr>
  </w:style>
  <w:style w:type="paragraph" w:customStyle="1" w:styleId="TableParagraph">
    <w:name w:val="Table Paragraph"/>
    <w:basedOn w:val="Normal"/>
    <w:uiPriority w:val="1"/>
    <w:qFormat/>
    <w:rsid w:val="000E59B7"/>
    <w:pPr>
      <w:widowControl w:val="0"/>
      <w:spacing w:before="0" w:after="0"/>
    </w:pPr>
    <w:rPr>
      <w:rFonts w:ascii="Calibri" w:eastAsia="Calibri" w:hAnsi="Calibri" w:cs="Times New Roman"/>
      <w:kern w:val="0"/>
      <w:szCs w:val="22"/>
      <w:lang w:eastAsia="en-US"/>
    </w:r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link w:val="ListParagraph"/>
    <w:uiPriority w:val="34"/>
    <w:locked/>
    <w:rsid w:val="00EB6EB1"/>
    <w:rPr>
      <w:rFonts w:ascii="Arial" w:hAnsi="Arial"/>
      <w:color w:val="auto"/>
      <w:u w:val="none"/>
    </w:rPr>
  </w:style>
  <w:style w:type="paragraph" w:customStyle="1" w:styleId="financeheading2">
    <w:name w:val="finance heading 2"/>
    <w:basedOn w:val="Heading2"/>
    <w:link w:val="financeheading2Char"/>
    <w:qFormat/>
    <w:rsid w:val="00341581"/>
  </w:style>
  <w:style w:type="paragraph" w:customStyle="1" w:styleId="FinanceHeading3">
    <w:name w:val="Finance Heading 3"/>
    <w:basedOn w:val="Heading3"/>
    <w:link w:val="FinanceHeading3Char"/>
    <w:qFormat/>
    <w:rsid w:val="00341581"/>
    <w:rPr>
      <w:rFonts w:eastAsia="Times New Roman"/>
    </w:rPr>
  </w:style>
  <w:style w:type="character" w:customStyle="1" w:styleId="TOC1Char">
    <w:name w:val="TOC 1 Char"/>
    <w:basedOn w:val="DefaultParagraphFont"/>
    <w:link w:val="TOC1"/>
    <w:uiPriority w:val="39"/>
    <w:rsid w:val="000636FA"/>
    <w:rPr>
      <w:rFonts w:ascii="Arial" w:hAnsi="Arial"/>
      <w:b/>
      <w:bCs/>
      <w:color w:val="auto"/>
      <w:sz w:val="24"/>
      <w:u w:val="none"/>
    </w:rPr>
  </w:style>
  <w:style w:type="character" w:customStyle="1" w:styleId="financeheading2Char">
    <w:name w:val="finance heading 2 Char"/>
    <w:basedOn w:val="TOC1Char"/>
    <w:link w:val="financeheading2"/>
    <w:rsid w:val="00341581"/>
    <w:rPr>
      <w:rFonts w:ascii="Arial" w:eastAsiaTheme="majorEastAsia" w:hAnsi="Arial" w:cstheme="majorBidi"/>
      <w:b/>
      <w:bCs w:val="0"/>
      <w:i/>
      <w:caps w:val="0"/>
      <w:color w:val="670022" w:themeColor="accent1" w:themeShade="BF"/>
      <w:kern w:val="20"/>
      <w:sz w:val="36"/>
      <w:u w:val="none"/>
      <w14:ligatures w14:val="standardContextual"/>
    </w:rPr>
  </w:style>
  <w:style w:type="character" w:customStyle="1" w:styleId="FinanceHeading3Char">
    <w:name w:val="Finance Heading 3 Char"/>
    <w:basedOn w:val="financeheading2Char"/>
    <w:link w:val="FinanceHeading3"/>
    <w:rsid w:val="00341581"/>
    <w:rPr>
      <w:rFonts w:ascii="Arial" w:eastAsia="Times New Roman" w:hAnsi="Arial" w:cstheme="majorBidi"/>
      <w:b/>
      <w:bCs/>
      <w:i w:val="0"/>
      <w:caps/>
      <w:color w:val="670022" w:themeColor="accent1" w:themeShade="BF"/>
      <w:kern w:val="20"/>
      <w:sz w:val="28"/>
      <w:u w:val="none"/>
      <w14:ligatures w14:val="standardContextual"/>
    </w:rPr>
  </w:style>
  <w:style w:type="table" w:customStyle="1" w:styleId="PlainTable21">
    <w:name w:val="Plain Table 21"/>
    <w:basedOn w:val="TableNormal"/>
    <w:uiPriority w:val="41"/>
    <w:rsid w:val="00180613"/>
    <w:pPr>
      <w:spacing w:after="0"/>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PlainTable11">
    <w:name w:val="Plain Table 11"/>
    <w:basedOn w:val="TableNormal"/>
    <w:uiPriority w:val="40"/>
    <w:rsid w:val="00B65A1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3"/>
    <w:rsid w:val="00C7429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inancialTable1">
    <w:name w:val="Financial Table1"/>
    <w:basedOn w:val="TableNormal"/>
    <w:uiPriority w:val="99"/>
    <w:rsid w:val="00CC416C"/>
    <w:pPr>
      <w:spacing w:before="40" w:after="0"/>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8A002E" w:themeColor="accent1"/>
        <w:sz w:val="22"/>
      </w:rPr>
    </w:tblStylePr>
    <w:tblStylePr w:type="firstCol">
      <w:rPr>
        <w:b/>
      </w:rPr>
    </w:tblStylePr>
  </w:style>
  <w:style w:type="paragraph" w:customStyle="1" w:styleId="Default">
    <w:name w:val="Default"/>
    <w:rsid w:val="007405D1"/>
    <w:pPr>
      <w:autoSpaceDE w:val="0"/>
      <w:autoSpaceDN w:val="0"/>
      <w:adjustRightInd w:val="0"/>
      <w:spacing w:before="0" w:after="0"/>
    </w:pPr>
    <w:rPr>
      <w:rFonts w:ascii="Arial" w:hAnsi="Arial"/>
      <w:color w:val="000000"/>
      <w:kern w:val="0"/>
      <w:sz w:val="24"/>
      <w:szCs w:val="24"/>
      <w:lang w:val="en-AU" w:eastAsia="en-US"/>
    </w:rPr>
  </w:style>
  <w:style w:type="table" w:customStyle="1" w:styleId="TableGrid10">
    <w:name w:val="Table Grid1"/>
    <w:basedOn w:val="TableNormal"/>
    <w:next w:val="TableGrid"/>
    <w:uiPriority w:val="39"/>
    <w:rsid w:val="00654152"/>
    <w:pPr>
      <w:widowControl w:val="0"/>
      <w:spacing w:before="0" w:after="0"/>
    </w:pPr>
    <w:rPr>
      <w:rFonts w:ascii="Calibri" w:hAnsi="Calibri" w:cs="Times New Roman"/>
      <w:color w:val="auto"/>
      <w:kern w:val="0"/>
      <w:szCs w:val="22"/>
      <w:u w:val="non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
    <w:basedOn w:val="TableNormal"/>
    <w:uiPriority w:val="41"/>
    <w:rsid w:val="00E25586"/>
    <w:pPr>
      <w:spacing w:after="0"/>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PlainTable22">
    <w:name w:val="Plain Table 22"/>
    <w:basedOn w:val="TableNormal"/>
    <w:uiPriority w:val="41"/>
    <w:rsid w:val="006145F1"/>
    <w:pPr>
      <w:spacing w:after="0"/>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paragraph" w:customStyle="1" w:styleId="Style2">
    <w:name w:val="Style 2"/>
    <w:basedOn w:val="Normal"/>
    <w:rsid w:val="00BD394B"/>
    <w:pPr>
      <w:widowControl w:val="0"/>
      <w:numPr>
        <w:numId w:val="36"/>
      </w:numPr>
      <w:tabs>
        <w:tab w:val="left" w:pos="357"/>
      </w:tabs>
      <w:spacing w:before="0" w:line="300" w:lineRule="atLeast"/>
    </w:pPr>
    <w:rPr>
      <w:rFonts w:eastAsia="Times New Roman" w:cs="Times New Roman"/>
      <w:kern w:val="0"/>
      <w:lang w:val="en-AU" w:eastAsia="en-US"/>
    </w:rPr>
  </w:style>
  <w:style w:type="paragraph" w:customStyle="1" w:styleId="bulletpoint">
    <w:name w:val="bullet point"/>
    <w:basedOn w:val="Style2"/>
    <w:link w:val="bulletpointChar"/>
    <w:rsid w:val="00BD394B"/>
    <w:pPr>
      <w:numPr>
        <w:ilvl w:val="1"/>
      </w:numPr>
      <w:spacing w:line="240" w:lineRule="auto"/>
      <w:outlineLvl w:val="1"/>
    </w:pPr>
  </w:style>
  <w:style w:type="paragraph" w:customStyle="1" w:styleId="dashpoint">
    <w:name w:val="dash point"/>
    <w:basedOn w:val="bulletpoint"/>
    <w:rsid w:val="00BD394B"/>
    <w:pPr>
      <w:numPr>
        <w:ilvl w:val="2"/>
      </w:numPr>
      <w:tabs>
        <w:tab w:val="clear" w:pos="907"/>
        <w:tab w:val="num" w:pos="720"/>
      </w:tabs>
      <w:ind w:left="720" w:hanging="360"/>
      <w:outlineLvl w:val="2"/>
    </w:pPr>
  </w:style>
  <w:style w:type="character" w:customStyle="1" w:styleId="bulletpointChar">
    <w:name w:val="bullet point Char"/>
    <w:basedOn w:val="DefaultParagraphFont"/>
    <w:link w:val="bulletpoint"/>
    <w:rsid w:val="00BD394B"/>
    <w:rPr>
      <w:rFonts w:ascii="Arial" w:eastAsia="Times New Roman" w:hAnsi="Arial" w:cs="Times New Roman"/>
      <w:color w:val="auto"/>
      <w:kern w:val="0"/>
      <w:u w:val="none"/>
      <w:lang w:val="en-AU" w:eastAsia="en-US"/>
    </w:rPr>
  </w:style>
  <w:style w:type="paragraph" w:customStyle="1" w:styleId="Style1">
    <w:name w:val="Style1"/>
    <w:basedOn w:val="Normal"/>
    <w:link w:val="Style1Char"/>
    <w:qFormat/>
    <w:rsid w:val="00B122E9"/>
    <w:pPr>
      <w:ind w:left="2268"/>
    </w:pPr>
    <w:rPr>
      <w:rFonts w:eastAsia="Calibri"/>
      <w:b/>
      <w:noProof/>
      <w:color w:val="AB054B"/>
      <w:sz w:val="28"/>
      <w:szCs w:val="24"/>
      <w:lang w:val="en-AU" w:eastAsia="en-AU"/>
    </w:rPr>
  </w:style>
  <w:style w:type="character" w:customStyle="1" w:styleId="Style1Char">
    <w:name w:val="Style1 Char"/>
    <w:basedOn w:val="DefaultParagraphFont"/>
    <w:link w:val="Style1"/>
    <w:rsid w:val="00B122E9"/>
    <w:rPr>
      <w:rFonts w:ascii="Arial" w:eastAsia="Calibri" w:hAnsi="Arial"/>
      <w:b/>
      <w:noProof/>
      <w:color w:val="AB054B"/>
      <w:sz w:val="28"/>
      <w:szCs w:val="24"/>
      <w:u w:val="none"/>
      <w:lang w:val="en-AU" w:eastAsia="en-AU"/>
    </w:rPr>
  </w:style>
  <w:style w:type="paragraph" w:customStyle="1" w:styleId="Style3">
    <w:name w:val="Style3"/>
    <w:basedOn w:val="BodyText"/>
    <w:link w:val="Style3Char"/>
    <w:qFormat/>
    <w:rsid w:val="00B122E9"/>
    <w:pPr>
      <w:ind w:left="2268"/>
    </w:pPr>
    <w:rPr>
      <w:b/>
      <w:sz w:val="24"/>
      <w:szCs w:val="24"/>
    </w:rPr>
  </w:style>
  <w:style w:type="character" w:customStyle="1" w:styleId="Style3Char">
    <w:name w:val="Style3 Char"/>
    <w:basedOn w:val="BodyTextChar"/>
    <w:link w:val="Style3"/>
    <w:rsid w:val="00B122E9"/>
    <w:rPr>
      <w:rFonts w:ascii="Arial" w:hAnsi="Arial"/>
      <w:b/>
      <w:color w:val="auto"/>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82796">
      <w:bodyDiv w:val="1"/>
      <w:marLeft w:val="0"/>
      <w:marRight w:val="0"/>
      <w:marTop w:val="0"/>
      <w:marBottom w:val="0"/>
      <w:divBdr>
        <w:top w:val="none" w:sz="0" w:space="0" w:color="auto"/>
        <w:left w:val="none" w:sz="0" w:space="0" w:color="auto"/>
        <w:bottom w:val="none" w:sz="0" w:space="0" w:color="auto"/>
        <w:right w:val="none" w:sz="0" w:space="0" w:color="auto"/>
      </w:divBdr>
      <w:divsChild>
        <w:div w:id="311452269">
          <w:marLeft w:val="547"/>
          <w:marRight w:val="0"/>
          <w:marTop w:val="0"/>
          <w:marBottom w:val="0"/>
          <w:divBdr>
            <w:top w:val="none" w:sz="0" w:space="0" w:color="auto"/>
            <w:left w:val="none" w:sz="0" w:space="0" w:color="auto"/>
            <w:bottom w:val="none" w:sz="0" w:space="0" w:color="auto"/>
            <w:right w:val="none" w:sz="0" w:space="0" w:color="auto"/>
          </w:divBdr>
        </w:div>
      </w:divsChild>
    </w:div>
    <w:div w:id="400060772">
      <w:bodyDiv w:val="1"/>
      <w:marLeft w:val="0"/>
      <w:marRight w:val="0"/>
      <w:marTop w:val="0"/>
      <w:marBottom w:val="0"/>
      <w:divBdr>
        <w:top w:val="none" w:sz="0" w:space="0" w:color="auto"/>
        <w:left w:val="none" w:sz="0" w:space="0" w:color="auto"/>
        <w:bottom w:val="none" w:sz="0" w:space="0" w:color="auto"/>
        <w:right w:val="none" w:sz="0" w:space="0" w:color="auto"/>
      </w:divBdr>
    </w:div>
    <w:div w:id="48196663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00919490">
      <w:bodyDiv w:val="1"/>
      <w:marLeft w:val="0"/>
      <w:marRight w:val="0"/>
      <w:marTop w:val="0"/>
      <w:marBottom w:val="0"/>
      <w:divBdr>
        <w:top w:val="none" w:sz="0" w:space="0" w:color="auto"/>
        <w:left w:val="none" w:sz="0" w:space="0" w:color="auto"/>
        <w:bottom w:val="none" w:sz="0" w:space="0" w:color="auto"/>
        <w:right w:val="none" w:sz="0" w:space="0" w:color="auto"/>
      </w:divBdr>
      <w:divsChild>
        <w:div w:id="1088649160">
          <w:marLeft w:val="547"/>
          <w:marRight w:val="0"/>
          <w:marTop w:val="0"/>
          <w:marBottom w:val="0"/>
          <w:divBdr>
            <w:top w:val="none" w:sz="0" w:space="0" w:color="auto"/>
            <w:left w:val="none" w:sz="0" w:space="0" w:color="auto"/>
            <w:bottom w:val="none" w:sz="0" w:space="0" w:color="auto"/>
            <w:right w:val="none" w:sz="0" w:space="0" w:color="auto"/>
          </w:divBdr>
        </w:div>
        <w:div w:id="1595895518">
          <w:marLeft w:val="1166"/>
          <w:marRight w:val="0"/>
          <w:marTop w:val="0"/>
          <w:marBottom w:val="0"/>
          <w:divBdr>
            <w:top w:val="none" w:sz="0" w:space="0" w:color="auto"/>
            <w:left w:val="none" w:sz="0" w:space="0" w:color="auto"/>
            <w:bottom w:val="none" w:sz="0" w:space="0" w:color="auto"/>
            <w:right w:val="none" w:sz="0" w:space="0" w:color="auto"/>
          </w:divBdr>
        </w:div>
        <w:div w:id="654534539">
          <w:marLeft w:val="1166"/>
          <w:marRight w:val="0"/>
          <w:marTop w:val="0"/>
          <w:marBottom w:val="0"/>
          <w:divBdr>
            <w:top w:val="none" w:sz="0" w:space="0" w:color="auto"/>
            <w:left w:val="none" w:sz="0" w:space="0" w:color="auto"/>
            <w:bottom w:val="none" w:sz="0" w:space="0" w:color="auto"/>
            <w:right w:val="none" w:sz="0" w:space="0" w:color="auto"/>
          </w:divBdr>
        </w:div>
        <w:div w:id="1804422927">
          <w:marLeft w:val="1166"/>
          <w:marRight w:val="0"/>
          <w:marTop w:val="0"/>
          <w:marBottom w:val="0"/>
          <w:divBdr>
            <w:top w:val="none" w:sz="0" w:space="0" w:color="auto"/>
            <w:left w:val="none" w:sz="0" w:space="0" w:color="auto"/>
            <w:bottom w:val="none" w:sz="0" w:space="0" w:color="auto"/>
            <w:right w:val="none" w:sz="0" w:space="0" w:color="auto"/>
          </w:divBdr>
        </w:div>
      </w:divsChild>
    </w:div>
    <w:div w:id="648249006">
      <w:bodyDiv w:val="1"/>
      <w:marLeft w:val="0"/>
      <w:marRight w:val="0"/>
      <w:marTop w:val="0"/>
      <w:marBottom w:val="0"/>
      <w:divBdr>
        <w:top w:val="none" w:sz="0" w:space="0" w:color="auto"/>
        <w:left w:val="none" w:sz="0" w:space="0" w:color="auto"/>
        <w:bottom w:val="none" w:sz="0" w:space="0" w:color="auto"/>
        <w:right w:val="none" w:sz="0" w:space="0" w:color="auto"/>
      </w:divBdr>
    </w:div>
    <w:div w:id="675154090">
      <w:bodyDiv w:val="1"/>
      <w:marLeft w:val="0"/>
      <w:marRight w:val="0"/>
      <w:marTop w:val="0"/>
      <w:marBottom w:val="0"/>
      <w:divBdr>
        <w:top w:val="none" w:sz="0" w:space="0" w:color="auto"/>
        <w:left w:val="none" w:sz="0" w:space="0" w:color="auto"/>
        <w:bottom w:val="none" w:sz="0" w:space="0" w:color="auto"/>
        <w:right w:val="none" w:sz="0" w:space="0" w:color="auto"/>
      </w:divBdr>
    </w:div>
    <w:div w:id="765922029">
      <w:bodyDiv w:val="1"/>
      <w:marLeft w:val="0"/>
      <w:marRight w:val="0"/>
      <w:marTop w:val="0"/>
      <w:marBottom w:val="0"/>
      <w:divBdr>
        <w:top w:val="none" w:sz="0" w:space="0" w:color="auto"/>
        <w:left w:val="none" w:sz="0" w:space="0" w:color="auto"/>
        <w:bottom w:val="none" w:sz="0" w:space="0" w:color="auto"/>
        <w:right w:val="none" w:sz="0" w:space="0" w:color="auto"/>
      </w:divBdr>
    </w:div>
    <w:div w:id="1492134890">
      <w:bodyDiv w:val="1"/>
      <w:marLeft w:val="0"/>
      <w:marRight w:val="0"/>
      <w:marTop w:val="0"/>
      <w:marBottom w:val="0"/>
      <w:divBdr>
        <w:top w:val="none" w:sz="0" w:space="0" w:color="auto"/>
        <w:left w:val="none" w:sz="0" w:space="0" w:color="auto"/>
        <w:bottom w:val="none" w:sz="0" w:space="0" w:color="auto"/>
        <w:right w:val="none" w:sz="0" w:space="0" w:color="auto"/>
      </w:divBdr>
      <w:divsChild>
        <w:div w:id="153688080">
          <w:marLeft w:val="547"/>
          <w:marRight w:val="0"/>
          <w:marTop w:val="0"/>
          <w:marBottom w:val="0"/>
          <w:divBdr>
            <w:top w:val="none" w:sz="0" w:space="0" w:color="auto"/>
            <w:left w:val="none" w:sz="0" w:space="0" w:color="auto"/>
            <w:bottom w:val="none" w:sz="0" w:space="0" w:color="auto"/>
            <w:right w:val="none" w:sz="0" w:space="0" w:color="auto"/>
          </w:divBdr>
        </w:div>
        <w:div w:id="205993543">
          <w:marLeft w:val="547"/>
          <w:marRight w:val="0"/>
          <w:marTop w:val="0"/>
          <w:marBottom w:val="0"/>
          <w:divBdr>
            <w:top w:val="none" w:sz="0" w:space="0" w:color="auto"/>
            <w:left w:val="none" w:sz="0" w:space="0" w:color="auto"/>
            <w:bottom w:val="none" w:sz="0" w:space="0" w:color="auto"/>
            <w:right w:val="none" w:sz="0" w:space="0" w:color="auto"/>
          </w:divBdr>
        </w:div>
        <w:div w:id="1216815209">
          <w:marLeft w:val="547"/>
          <w:marRight w:val="0"/>
          <w:marTop w:val="0"/>
          <w:marBottom w:val="0"/>
          <w:divBdr>
            <w:top w:val="none" w:sz="0" w:space="0" w:color="auto"/>
            <w:left w:val="none" w:sz="0" w:space="0" w:color="auto"/>
            <w:bottom w:val="none" w:sz="0" w:space="0" w:color="auto"/>
            <w:right w:val="none" w:sz="0" w:space="0" w:color="auto"/>
          </w:divBdr>
        </w:div>
        <w:div w:id="1140734621">
          <w:marLeft w:val="547"/>
          <w:marRight w:val="0"/>
          <w:marTop w:val="0"/>
          <w:marBottom w:val="0"/>
          <w:divBdr>
            <w:top w:val="none" w:sz="0" w:space="0" w:color="auto"/>
            <w:left w:val="none" w:sz="0" w:space="0" w:color="auto"/>
            <w:bottom w:val="none" w:sz="0" w:space="0" w:color="auto"/>
            <w:right w:val="none" w:sz="0" w:space="0" w:color="auto"/>
          </w:divBdr>
        </w:div>
        <w:div w:id="24403954">
          <w:marLeft w:val="547"/>
          <w:marRight w:val="0"/>
          <w:marTop w:val="0"/>
          <w:marBottom w:val="0"/>
          <w:divBdr>
            <w:top w:val="none" w:sz="0" w:space="0" w:color="auto"/>
            <w:left w:val="none" w:sz="0" w:space="0" w:color="auto"/>
            <w:bottom w:val="none" w:sz="0" w:space="0" w:color="auto"/>
            <w:right w:val="none" w:sz="0" w:space="0" w:color="auto"/>
          </w:divBdr>
        </w:div>
      </w:divsChild>
    </w:div>
    <w:div w:id="1721173687">
      <w:bodyDiv w:val="1"/>
      <w:marLeft w:val="0"/>
      <w:marRight w:val="0"/>
      <w:marTop w:val="0"/>
      <w:marBottom w:val="0"/>
      <w:divBdr>
        <w:top w:val="none" w:sz="0" w:space="0" w:color="auto"/>
        <w:left w:val="none" w:sz="0" w:space="0" w:color="auto"/>
        <w:bottom w:val="none" w:sz="0" w:space="0" w:color="auto"/>
        <w:right w:val="none" w:sz="0" w:space="0" w:color="auto"/>
      </w:divBdr>
      <w:divsChild>
        <w:div w:id="208418737">
          <w:marLeft w:val="547"/>
          <w:marRight w:val="0"/>
          <w:marTop w:val="0"/>
          <w:marBottom w:val="0"/>
          <w:divBdr>
            <w:top w:val="none" w:sz="0" w:space="0" w:color="auto"/>
            <w:left w:val="none" w:sz="0" w:space="0" w:color="auto"/>
            <w:bottom w:val="none" w:sz="0" w:space="0" w:color="auto"/>
            <w:right w:val="none" w:sz="0" w:space="0" w:color="auto"/>
          </w:divBdr>
        </w:div>
        <w:div w:id="1782458406">
          <w:marLeft w:val="1166"/>
          <w:marRight w:val="0"/>
          <w:marTop w:val="0"/>
          <w:marBottom w:val="0"/>
          <w:divBdr>
            <w:top w:val="none" w:sz="0" w:space="0" w:color="auto"/>
            <w:left w:val="none" w:sz="0" w:space="0" w:color="auto"/>
            <w:bottom w:val="none" w:sz="0" w:space="0" w:color="auto"/>
            <w:right w:val="none" w:sz="0" w:space="0" w:color="auto"/>
          </w:divBdr>
        </w:div>
        <w:div w:id="1613242104">
          <w:marLeft w:val="1166"/>
          <w:marRight w:val="0"/>
          <w:marTop w:val="0"/>
          <w:marBottom w:val="0"/>
          <w:divBdr>
            <w:top w:val="none" w:sz="0" w:space="0" w:color="auto"/>
            <w:left w:val="none" w:sz="0" w:space="0" w:color="auto"/>
            <w:bottom w:val="none" w:sz="0" w:space="0" w:color="auto"/>
            <w:right w:val="none" w:sz="0" w:space="0" w:color="auto"/>
          </w:divBdr>
        </w:div>
        <w:div w:id="1459370591">
          <w:marLeft w:val="1166"/>
          <w:marRight w:val="0"/>
          <w:marTop w:val="0"/>
          <w:marBottom w:val="0"/>
          <w:divBdr>
            <w:top w:val="none" w:sz="0" w:space="0" w:color="auto"/>
            <w:left w:val="none" w:sz="0" w:space="0" w:color="auto"/>
            <w:bottom w:val="none" w:sz="0" w:space="0" w:color="auto"/>
            <w:right w:val="none" w:sz="0" w:space="0" w:color="auto"/>
          </w:divBdr>
        </w:div>
      </w:divsChild>
    </w:div>
    <w:div w:id="1840660134">
      <w:bodyDiv w:val="1"/>
      <w:marLeft w:val="0"/>
      <w:marRight w:val="0"/>
      <w:marTop w:val="0"/>
      <w:marBottom w:val="0"/>
      <w:divBdr>
        <w:top w:val="none" w:sz="0" w:space="0" w:color="auto"/>
        <w:left w:val="none" w:sz="0" w:space="0" w:color="auto"/>
        <w:bottom w:val="none" w:sz="0" w:space="0" w:color="auto"/>
        <w:right w:val="none" w:sz="0" w:space="0" w:color="auto"/>
      </w:divBdr>
    </w:div>
    <w:div w:id="1872721267">
      <w:bodyDiv w:val="1"/>
      <w:marLeft w:val="0"/>
      <w:marRight w:val="0"/>
      <w:marTop w:val="0"/>
      <w:marBottom w:val="0"/>
      <w:divBdr>
        <w:top w:val="none" w:sz="0" w:space="0" w:color="auto"/>
        <w:left w:val="none" w:sz="0" w:space="0" w:color="auto"/>
        <w:bottom w:val="none" w:sz="0" w:space="0" w:color="auto"/>
        <w:right w:val="none" w:sz="0" w:space="0" w:color="auto"/>
      </w:divBdr>
      <w:divsChild>
        <w:div w:id="1516338978">
          <w:marLeft w:val="547"/>
          <w:marRight w:val="0"/>
          <w:marTop w:val="0"/>
          <w:marBottom w:val="0"/>
          <w:divBdr>
            <w:top w:val="none" w:sz="0" w:space="0" w:color="auto"/>
            <w:left w:val="none" w:sz="0" w:space="0" w:color="auto"/>
            <w:bottom w:val="none" w:sz="0" w:space="0" w:color="auto"/>
            <w:right w:val="none" w:sz="0" w:space="0" w:color="auto"/>
          </w:divBdr>
        </w:div>
      </w:divsChild>
    </w:div>
    <w:div w:id="1958442386">
      <w:bodyDiv w:val="1"/>
      <w:marLeft w:val="0"/>
      <w:marRight w:val="0"/>
      <w:marTop w:val="0"/>
      <w:marBottom w:val="0"/>
      <w:divBdr>
        <w:top w:val="none" w:sz="0" w:space="0" w:color="auto"/>
        <w:left w:val="none" w:sz="0" w:space="0" w:color="auto"/>
        <w:bottom w:val="none" w:sz="0" w:space="0" w:color="auto"/>
        <w:right w:val="none" w:sz="0" w:space="0" w:color="auto"/>
      </w:divBdr>
      <w:divsChild>
        <w:div w:id="1173840796">
          <w:marLeft w:val="547"/>
          <w:marRight w:val="0"/>
          <w:marTop w:val="0"/>
          <w:marBottom w:val="0"/>
          <w:divBdr>
            <w:top w:val="none" w:sz="0" w:space="0" w:color="auto"/>
            <w:left w:val="none" w:sz="0" w:space="0" w:color="auto"/>
            <w:bottom w:val="none" w:sz="0" w:space="0" w:color="auto"/>
            <w:right w:val="none" w:sz="0" w:space="0" w:color="auto"/>
          </w:divBdr>
        </w:div>
      </w:divsChild>
    </w:div>
    <w:div w:id="1996638170">
      <w:bodyDiv w:val="1"/>
      <w:marLeft w:val="0"/>
      <w:marRight w:val="0"/>
      <w:marTop w:val="0"/>
      <w:marBottom w:val="0"/>
      <w:divBdr>
        <w:top w:val="none" w:sz="0" w:space="0" w:color="auto"/>
        <w:left w:val="none" w:sz="0" w:space="0" w:color="auto"/>
        <w:bottom w:val="none" w:sz="0" w:space="0" w:color="auto"/>
        <w:right w:val="none" w:sz="0" w:space="0" w:color="auto"/>
      </w:divBdr>
      <w:divsChild>
        <w:div w:id="630208596">
          <w:marLeft w:val="547"/>
          <w:marRight w:val="0"/>
          <w:marTop w:val="0"/>
          <w:marBottom w:val="0"/>
          <w:divBdr>
            <w:top w:val="none" w:sz="0" w:space="0" w:color="auto"/>
            <w:left w:val="none" w:sz="0" w:space="0" w:color="auto"/>
            <w:bottom w:val="none" w:sz="0" w:space="0" w:color="auto"/>
            <w:right w:val="none" w:sz="0" w:space="0" w:color="auto"/>
          </w:divBdr>
        </w:div>
      </w:divsChild>
    </w:div>
    <w:div w:id="2005279795">
      <w:bodyDiv w:val="1"/>
      <w:marLeft w:val="0"/>
      <w:marRight w:val="0"/>
      <w:marTop w:val="0"/>
      <w:marBottom w:val="0"/>
      <w:divBdr>
        <w:top w:val="none" w:sz="0" w:space="0" w:color="auto"/>
        <w:left w:val="none" w:sz="0" w:space="0" w:color="auto"/>
        <w:bottom w:val="none" w:sz="0" w:space="0" w:color="auto"/>
        <w:right w:val="none" w:sz="0" w:space="0" w:color="auto"/>
      </w:divBdr>
      <w:divsChild>
        <w:div w:id="1033653800">
          <w:marLeft w:val="547"/>
          <w:marRight w:val="0"/>
          <w:marTop w:val="0"/>
          <w:marBottom w:val="0"/>
          <w:divBdr>
            <w:top w:val="none" w:sz="0" w:space="0" w:color="auto"/>
            <w:left w:val="none" w:sz="0" w:space="0" w:color="auto"/>
            <w:bottom w:val="none" w:sz="0" w:space="0" w:color="auto"/>
            <w:right w:val="none" w:sz="0" w:space="0" w:color="auto"/>
          </w:divBdr>
        </w:div>
      </w:divsChild>
    </w:div>
    <w:div w:id="2089034359">
      <w:bodyDiv w:val="1"/>
      <w:marLeft w:val="0"/>
      <w:marRight w:val="0"/>
      <w:marTop w:val="0"/>
      <w:marBottom w:val="0"/>
      <w:divBdr>
        <w:top w:val="none" w:sz="0" w:space="0" w:color="auto"/>
        <w:left w:val="none" w:sz="0" w:space="0" w:color="auto"/>
        <w:bottom w:val="none" w:sz="0" w:space="0" w:color="auto"/>
        <w:right w:val="none" w:sz="0" w:space="0" w:color="auto"/>
      </w:divBdr>
      <w:divsChild>
        <w:div w:id="11341184">
          <w:marLeft w:val="547"/>
          <w:marRight w:val="0"/>
          <w:marTop w:val="0"/>
          <w:marBottom w:val="0"/>
          <w:divBdr>
            <w:top w:val="none" w:sz="0" w:space="0" w:color="auto"/>
            <w:left w:val="none" w:sz="0" w:space="0" w:color="auto"/>
            <w:bottom w:val="none" w:sz="0" w:space="0" w:color="auto"/>
            <w:right w:val="none" w:sz="0" w:space="0" w:color="auto"/>
          </w:divBdr>
        </w:div>
        <w:div w:id="43718581">
          <w:marLeft w:val="547"/>
          <w:marRight w:val="0"/>
          <w:marTop w:val="0"/>
          <w:marBottom w:val="0"/>
          <w:divBdr>
            <w:top w:val="none" w:sz="0" w:space="0" w:color="auto"/>
            <w:left w:val="none" w:sz="0" w:space="0" w:color="auto"/>
            <w:bottom w:val="none" w:sz="0" w:space="0" w:color="auto"/>
            <w:right w:val="none" w:sz="0" w:space="0" w:color="auto"/>
          </w:divBdr>
        </w:div>
        <w:div w:id="1357002132">
          <w:marLeft w:val="547"/>
          <w:marRight w:val="0"/>
          <w:marTop w:val="0"/>
          <w:marBottom w:val="0"/>
          <w:divBdr>
            <w:top w:val="none" w:sz="0" w:space="0" w:color="auto"/>
            <w:left w:val="none" w:sz="0" w:space="0" w:color="auto"/>
            <w:bottom w:val="none" w:sz="0" w:space="0" w:color="auto"/>
            <w:right w:val="none" w:sz="0" w:space="0" w:color="auto"/>
          </w:divBdr>
        </w:div>
      </w:divsChild>
    </w:div>
    <w:div w:id="2115519120">
      <w:bodyDiv w:val="1"/>
      <w:marLeft w:val="0"/>
      <w:marRight w:val="0"/>
      <w:marTop w:val="0"/>
      <w:marBottom w:val="0"/>
      <w:divBdr>
        <w:top w:val="none" w:sz="0" w:space="0" w:color="auto"/>
        <w:left w:val="none" w:sz="0" w:space="0" w:color="auto"/>
        <w:bottom w:val="none" w:sz="0" w:space="0" w:color="auto"/>
        <w:right w:val="none" w:sz="0" w:space="0" w:color="auto"/>
      </w:divBdr>
    </w:div>
    <w:div w:id="213536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3.emf"/><Relationship Id="rId42" Type="http://schemas.openxmlformats.org/officeDocument/2006/relationships/image" Target="media/image9.png"/><Relationship Id="rId47" Type="http://schemas.openxmlformats.org/officeDocument/2006/relationships/header" Target="header9.xml"/><Relationship Id="rId63" Type="http://schemas.openxmlformats.org/officeDocument/2006/relationships/hyperlink" Target="https://www.igem.qld.gov.au/assurance-framework/Pages/standard.aspx" TargetMode="External"/><Relationship Id="rId68" Type="http://schemas.openxmlformats.org/officeDocument/2006/relationships/image" Target="media/image21.png"/><Relationship Id="rId84" Type="http://schemas.openxmlformats.org/officeDocument/2006/relationships/image" Target="media/image34.emf"/><Relationship Id="rId89" Type="http://schemas.openxmlformats.org/officeDocument/2006/relationships/image" Target="media/image39.emf"/><Relationship Id="rId16" Type="http://schemas.openxmlformats.org/officeDocument/2006/relationships/hyperlink" Target="mailto:info@igem.qld.gov.au" TargetMode="External"/><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hyperlink" Target="http://www.mypolice.qld.gov.au/" TargetMode="External"/><Relationship Id="rId53" Type="http://schemas.openxmlformats.org/officeDocument/2006/relationships/image" Target="media/image14.png"/><Relationship Id="rId58" Type="http://schemas.openxmlformats.org/officeDocument/2006/relationships/image" Target="media/image18.jpeg"/><Relationship Id="rId74" Type="http://schemas.openxmlformats.org/officeDocument/2006/relationships/image" Target="media/image24.emf"/><Relationship Id="rId79" Type="http://schemas.openxmlformats.org/officeDocument/2006/relationships/image" Target="media/image29.emf"/><Relationship Id="rId5" Type="http://schemas.openxmlformats.org/officeDocument/2006/relationships/numbering" Target="numbering.xml"/><Relationship Id="rId90" Type="http://schemas.openxmlformats.org/officeDocument/2006/relationships/header" Target="header10.xml"/><Relationship Id="rId95" Type="http://schemas.openxmlformats.org/officeDocument/2006/relationships/customXml" Target="../customXml/item5.xml"/><Relationship Id="rId22" Type="http://schemas.openxmlformats.org/officeDocument/2006/relationships/hyperlink" Target="http://creativecommons.org/licenses/by/3.0/au/deed.en" TargetMode="External"/><Relationship Id="rId27" Type="http://schemas.openxmlformats.org/officeDocument/2006/relationships/image" Target="media/image4.png"/><Relationship Id="rId43" Type="http://schemas.openxmlformats.org/officeDocument/2006/relationships/hyperlink" Target="https://www.pinterest.com/qldpolice/" TargetMode="External"/><Relationship Id="rId48" Type="http://schemas.openxmlformats.org/officeDocument/2006/relationships/image" Target="media/image10.png"/><Relationship Id="rId64" Type="http://schemas.openxmlformats.org/officeDocument/2006/relationships/hyperlink" Target="https://www.igem.qld.gov.au/assurance-framework/Pages/Prioritisation-Tool.aspx" TargetMode="External"/><Relationship Id="rId69" Type="http://schemas.openxmlformats.org/officeDocument/2006/relationships/hyperlink" Target="http://www.qld.gov.au/about/how-government-works/government-structure/public-service-commission/what-we-do/review-psba.html"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2.emf"/><Relationship Id="rId80" Type="http://schemas.openxmlformats.org/officeDocument/2006/relationships/image" Target="media/image30.emf"/><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gem.qld.gov.au/Pages/default.aspx" TargetMode="External"/><Relationship Id="rId25" Type="http://schemas.openxmlformats.org/officeDocument/2006/relationships/header" Target="header6.xml"/><Relationship Id="rId33" Type="http://schemas.openxmlformats.org/officeDocument/2006/relationships/hyperlink" Target="http://www.twitter.com/%40QldFES" TargetMode="External"/><Relationship Id="rId38" Type="http://schemas.openxmlformats.org/officeDocument/2006/relationships/hyperlink" Target="https://www.youtube.com/user/QueenslandPolice" TargetMode="External"/><Relationship Id="rId46" Type="http://schemas.openxmlformats.org/officeDocument/2006/relationships/footer" Target="footer4.xml"/><Relationship Id="rId59" Type="http://schemas.openxmlformats.org/officeDocument/2006/relationships/image" Target="media/image19.jpeg"/><Relationship Id="rId67" Type="http://schemas.openxmlformats.org/officeDocument/2006/relationships/hyperlink" Target="https://www.igem.qld.gov.au/reports-and-publications/Pages/Newsletters.aspx" TargetMode="External"/><Relationship Id="rId20" Type="http://schemas.openxmlformats.org/officeDocument/2006/relationships/image" Target="media/image2.emf"/><Relationship Id="rId41" Type="http://schemas.openxmlformats.org/officeDocument/2006/relationships/hyperlink" Target="http://www.twitter.com/QPSmedia" TargetMode="External"/><Relationship Id="rId54" Type="http://schemas.openxmlformats.org/officeDocument/2006/relationships/hyperlink" Target="http://www.queenslandplan.qld.gov.au/" TargetMode="External"/><Relationship Id="rId62" Type="http://schemas.openxmlformats.org/officeDocument/2006/relationships/hyperlink" Target="https://www.igem.qld.gov.au/assurance-framework/Pages/default.aspx" TargetMode="External"/><Relationship Id="rId70" Type="http://schemas.openxmlformats.org/officeDocument/2006/relationships/hyperlink" Target="http://www.ccc.qld.gov.au/research-and-publications" TargetMode="External"/><Relationship Id="rId75" Type="http://schemas.openxmlformats.org/officeDocument/2006/relationships/image" Target="media/image25.emf"/><Relationship Id="rId83" Type="http://schemas.openxmlformats.org/officeDocument/2006/relationships/image" Target="media/image33.emf"/><Relationship Id="rId88" Type="http://schemas.openxmlformats.org/officeDocument/2006/relationships/image" Target="media/image38.emf"/><Relationship Id="rId91" Type="http://schemas.openxmlformats.org/officeDocument/2006/relationships/image" Target="media/image40.png"/><Relationship Id="rId96"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facebook.com/InspectorGeneralEmergencyManagement" TargetMode="External"/><Relationship Id="rId36" Type="http://schemas.openxmlformats.org/officeDocument/2006/relationships/image" Target="media/image8.jpeg"/><Relationship Id="rId49" Type="http://schemas.openxmlformats.org/officeDocument/2006/relationships/hyperlink" Target="http://www.data.qld.gov.au/"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www.youtube.com/user/FireRescueQld" TargetMode="External"/><Relationship Id="rId44" Type="http://schemas.openxmlformats.org/officeDocument/2006/relationships/header" Target="header7.xml"/><Relationship Id="rId52" Type="http://schemas.openxmlformats.org/officeDocument/2006/relationships/image" Target="media/image13.png"/><Relationship Id="rId60" Type="http://schemas.openxmlformats.org/officeDocument/2006/relationships/image" Target="media/image20.png"/><Relationship Id="rId65" Type="http://schemas.openxmlformats.org/officeDocument/2006/relationships/hyperlink" Target="https://www.igem.qld.gov.au/assurance-framework/Pages/Accountabilities-in-practice.aspx" TargetMode="External"/><Relationship Id="rId73" Type="http://schemas.openxmlformats.org/officeDocument/2006/relationships/image" Target="media/image23.emf"/><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gem.qld.gov.au/reports-and-publications/Pages/Annual-Report.aspx" TargetMode="External"/><Relationship Id="rId39" Type="http://schemas.openxmlformats.org/officeDocument/2006/relationships/hyperlink" Target="http://www.facebook.com/QueenslandPolice" TargetMode="External"/><Relationship Id="rId34" Type="http://schemas.openxmlformats.org/officeDocument/2006/relationships/image" Target="media/image7.png"/><Relationship Id="rId50" Type="http://schemas.openxmlformats.org/officeDocument/2006/relationships/image" Target="media/image11.png"/><Relationship Id="rId55" Type="http://schemas.openxmlformats.org/officeDocument/2006/relationships/image" Target="media/image15.jpeg"/><Relationship Id="rId76" Type="http://schemas.openxmlformats.org/officeDocument/2006/relationships/image" Target="media/image26.emf"/><Relationship Id="rId7" Type="http://schemas.openxmlformats.org/officeDocument/2006/relationships/settings" Target="settings.xml"/><Relationship Id="rId71" Type="http://schemas.openxmlformats.org/officeDocument/2006/relationships/hyperlink" Target="http://www.qao.qld.gov.au/reports-tabled-in-2015-16-financial-year" TargetMode="External"/><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s://www.google.com.au/webhp?hl=en&amp;amp;tab=ww&amp;amp;gws_rd=ssl%23hl%3Den&amp;amp;q=www.facebook.com%2FQldFireandRescueService&amp;amp;safe=strict" TargetMode="External"/><Relationship Id="rId24" Type="http://schemas.openxmlformats.org/officeDocument/2006/relationships/header" Target="header5.xml"/><Relationship Id="rId40" Type="http://schemas.openxmlformats.org/officeDocument/2006/relationships/hyperlink" Target="https://www.instagram.com/qpsmedia/?hl=en" TargetMode="External"/><Relationship Id="rId45" Type="http://schemas.openxmlformats.org/officeDocument/2006/relationships/header" Target="header8.xml"/><Relationship Id="rId66" Type="http://schemas.openxmlformats.org/officeDocument/2006/relationships/hyperlink" Target="https://data.qld.gov.au/data-event/govhack/2015" TargetMode="External"/><Relationship Id="rId87" Type="http://schemas.openxmlformats.org/officeDocument/2006/relationships/image" Target="media/image37.emf"/><Relationship Id="rId61" Type="http://schemas.openxmlformats.org/officeDocument/2006/relationships/hyperlink" Target="https://www.igem.qld.gov.au/reports-and-publications/reports/Pages/Review-Reports.aspx" TargetMode="External"/><Relationship Id="rId82" Type="http://schemas.openxmlformats.org/officeDocument/2006/relationships/image" Target="media/image32.emf"/><Relationship Id="rId19" Type="http://schemas.openxmlformats.org/officeDocument/2006/relationships/hyperlink" Target="https://www.getinvolved.qld.gov.au/gi/consultation/2711/view.html" TargetMode="External"/><Relationship Id="rId14"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hyperlink" Target="http://www.instagram.com/qldfire/" TargetMode="External"/><Relationship Id="rId56" Type="http://schemas.openxmlformats.org/officeDocument/2006/relationships/image" Target="media/image16.jpeg"/><Relationship Id="rId77" Type="http://schemas.openxmlformats.org/officeDocument/2006/relationships/image" Target="media/image27.emf"/></Relationships>
</file>

<file path=word/_rels/footnotes.xml.rels><?xml version="1.0" encoding="UTF-8" standalone="yes"?>
<Relationships xmlns="http://schemas.openxmlformats.org/package/2006/relationships"><Relationship Id="rId3" Type="http://schemas.openxmlformats.org/officeDocument/2006/relationships/hyperlink" Target="http://disaster.qld.gov.au/Disaster-Resources/Documents/Historical%20analysis%20of%20natural%20hazard%20building%20losses%20and%20fatalities%20for%20Queensland%201900-2011.pdf" TargetMode="External"/><Relationship Id="rId2" Type="http://schemas.openxmlformats.org/officeDocument/2006/relationships/hyperlink" Target="http://disaster.qld.gov.au/Disaster-Resources/Documents/Historical%20analysis%20of%20natural%20hazard%20building%20losses%20and%20fatalities%20for%20Queensland%201900-2011.pdf" TargetMode="External"/><Relationship Id="rId1" Type="http://schemas.openxmlformats.org/officeDocument/2006/relationships/hyperlink" Target="http://disaster.qld.gov.au/Disaster-" TargetMode="External"/><Relationship Id="rId4" Type="http://schemas.openxmlformats.org/officeDocument/2006/relationships/hyperlink" Target="http://www.dilgp.qld.gov.au/resources/plan/local-government/queensland-strategy-for-disaster-resilienc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9974\AppData\Roaming\Microsoft\Templates\Annual%20report%20(Timeless%20design).dotx" TargetMode="External"/></Relationships>
</file>

<file path=word/theme/theme1.xml><?xml version="1.0" encoding="utf-8"?>
<a:theme xmlns:a="http://schemas.openxmlformats.org/drawingml/2006/main" name="Annual Report">
  <a:themeElements>
    <a:clrScheme name="Custom 1">
      <a:dk1>
        <a:srgbClr val="FFFFFF"/>
      </a:dk1>
      <a:lt1>
        <a:srgbClr val="FFFFFF"/>
      </a:lt1>
      <a:dk2>
        <a:srgbClr val="FFFFFF"/>
      </a:dk2>
      <a:lt2>
        <a:srgbClr val="FFFFFF"/>
      </a:lt2>
      <a:accent1>
        <a:srgbClr val="8A002E"/>
      </a:accent1>
      <a:accent2>
        <a:srgbClr val="960443"/>
      </a:accent2>
      <a:accent3>
        <a:srgbClr val="AB054C"/>
      </a:accent3>
      <a:accent4>
        <a:srgbClr val="FFE7E7"/>
      </a:accent4>
      <a:accent5>
        <a:srgbClr val="FEDADD"/>
      </a:accent5>
      <a:accent6>
        <a:srgbClr val="700015"/>
      </a:accent6>
      <a:hlink>
        <a:srgbClr val="AB054C"/>
      </a:hlink>
      <a:folHlink>
        <a:srgbClr val="AB054C"/>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2015-16</PublishDate>
  <Abstract>NOTE: DPC PROVIDES FRONT AND BACK COVER TEMPLATES AND APPROVES ANNUAL REPORT COVERS                                                                                                                                                           The structure/content may need to be adjusted as the report is drafted and to ensure compliance with the 2015-16 annual report requirements.                                                                              The annual report will be published online in colour.</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A7A30CEC72AA4EACD01328ED411379" ma:contentTypeVersion="1" ma:contentTypeDescription="Create a new document." ma:contentTypeScope="" ma:versionID="e18dec71170c199c3e61d0310df24ae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E17629-EAA7-4499-9D92-C45ED986A22B}"/>
</file>

<file path=customXml/itemProps2.xml><?xml version="1.0" encoding="utf-8"?>
<ds:datastoreItem xmlns:ds="http://schemas.openxmlformats.org/officeDocument/2006/customXml" ds:itemID="{447F0643-4DBC-4122-97A4-1A4B0E60EF2D}"/>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87F88E19-D91F-4977-A905-321740FE36C2}"/>
</file>

<file path=customXml/itemProps5.xml><?xml version="1.0" encoding="utf-8"?>
<ds:datastoreItem xmlns:ds="http://schemas.openxmlformats.org/officeDocument/2006/customXml" ds:itemID="{F679E4D8-73D9-412D-B716-777944E71373}"/>
</file>

<file path=customXml/itemProps6.xml><?xml version="1.0" encoding="utf-8"?>
<ds:datastoreItem xmlns:ds="http://schemas.openxmlformats.org/officeDocument/2006/customXml" ds:itemID="{B150A77D-0DC7-4CE6-9B6D-D38A3DBBDA3D}"/>
</file>

<file path=docProps/app.xml><?xml version="1.0" encoding="utf-8"?>
<Properties xmlns="http://schemas.openxmlformats.org/officeDocument/2006/extended-properties" xmlns:vt="http://schemas.openxmlformats.org/officeDocument/2006/docPropsVTypes">
  <Template>Annual report (Timeless design)</Template>
  <TotalTime>0</TotalTime>
  <Pages>71</Pages>
  <Words>14449</Words>
  <Characters>82361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ANNUAL PORT</vt:lpstr>
    </vt:vector>
  </TitlesOfParts>
  <Company>Department of Community Safety</Company>
  <LinksUpToDate>false</LinksUpToDate>
  <CharactersWithSpaces>96617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15-16</dc:title>
  <dc:creator>Kitto.SuzanneM[PSBASTR]</dc:creator>
  <cp:lastModifiedBy>Darlene Graham</cp:lastModifiedBy>
  <cp:revision>3</cp:revision>
  <cp:lastPrinted>2016-09-19T01:19:00Z</cp:lastPrinted>
  <dcterms:created xsi:type="dcterms:W3CDTF">2016-09-19T01:19:00Z</dcterms:created>
  <dcterms:modified xsi:type="dcterms:W3CDTF">2016-09-19T01:19:00Z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0x0101007FA7A30CEC72AA4EACD01328ED411379</vt:lpwstr>
  </property>
</Properties>
</file>