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8EA0F5" w14:textId="12DE8FE9" w:rsidR="00704D7F" w:rsidRPr="00704D7F" w:rsidRDefault="00704D7F" w:rsidP="008B495B">
      <w:pPr>
        <w:tabs>
          <w:tab w:val="left" w:pos="3390"/>
        </w:tabs>
      </w:pPr>
    </w:p>
    <w:p w14:paraId="0ECEA4EA" w14:textId="77777777" w:rsidR="00704D7F" w:rsidRPr="00704D7F" w:rsidRDefault="00704D7F" w:rsidP="00704D7F"/>
    <w:p w14:paraId="1CADECB0" w14:textId="77777777" w:rsidR="00704D7F" w:rsidRPr="00704D7F" w:rsidRDefault="00704D7F" w:rsidP="00704D7F"/>
    <w:p w14:paraId="484F0020" w14:textId="77777777" w:rsidR="00704D7F" w:rsidRPr="00704D7F" w:rsidRDefault="00704D7F" w:rsidP="00704D7F"/>
    <w:p w14:paraId="2571B5E8" w14:textId="77777777" w:rsidR="00704D7F" w:rsidRPr="00704D7F" w:rsidRDefault="00704D7F" w:rsidP="00704D7F"/>
    <w:p w14:paraId="7035BFE1" w14:textId="77777777" w:rsidR="00704D7F" w:rsidRPr="00704D7F" w:rsidRDefault="00704D7F" w:rsidP="00704D7F"/>
    <w:p w14:paraId="3321E5F4" w14:textId="77777777" w:rsidR="00704D7F" w:rsidRPr="00704D7F" w:rsidRDefault="00704D7F" w:rsidP="00704D7F"/>
    <w:p w14:paraId="58B32CE6" w14:textId="77777777" w:rsidR="00704D7F" w:rsidRPr="00704D7F" w:rsidRDefault="00704D7F" w:rsidP="00704D7F"/>
    <w:p w14:paraId="412E50DB" w14:textId="77777777" w:rsidR="00704D7F" w:rsidRPr="00704D7F" w:rsidRDefault="00704D7F" w:rsidP="00704D7F"/>
    <w:p w14:paraId="4FE110F8" w14:textId="7F43953D" w:rsidR="00704D7F" w:rsidRPr="00704D7F" w:rsidRDefault="00704D7F" w:rsidP="008B495B">
      <w:pPr>
        <w:tabs>
          <w:tab w:val="left" w:pos="2475"/>
        </w:tabs>
      </w:pPr>
    </w:p>
    <w:p w14:paraId="3959093D" w14:textId="77777777" w:rsidR="00704D7F" w:rsidRPr="00704D7F" w:rsidRDefault="00704D7F" w:rsidP="00704D7F"/>
    <w:p w14:paraId="2DFDB7AD" w14:textId="77777777" w:rsidR="00704D7F" w:rsidRPr="00704D7F" w:rsidRDefault="00704D7F" w:rsidP="00704D7F"/>
    <w:p w14:paraId="1C48B1B7" w14:textId="797C2C8E" w:rsidR="00704D7F" w:rsidRDefault="00704D7F" w:rsidP="00704D7F"/>
    <w:p w14:paraId="0AEBAADC" w14:textId="77777777" w:rsidR="00704D7F" w:rsidRPr="00704D7F" w:rsidRDefault="00704D7F" w:rsidP="00704D7F"/>
    <w:p w14:paraId="2BC63315" w14:textId="0E06817B" w:rsidR="00704D7F" w:rsidRDefault="00704D7F" w:rsidP="00704D7F"/>
    <w:p w14:paraId="2AA21112" w14:textId="5EC13CD2" w:rsidR="00A533E4" w:rsidRDefault="00A533E4" w:rsidP="00704D7F">
      <w:pPr>
        <w:tabs>
          <w:tab w:val="center" w:pos="5715"/>
        </w:tabs>
      </w:pPr>
    </w:p>
    <w:p w14:paraId="1185162B" w14:textId="39B02558" w:rsidR="00A533E4" w:rsidRDefault="00A533E4" w:rsidP="00A533E4"/>
    <w:p w14:paraId="359583E0" w14:textId="43F0F939" w:rsidR="000C3226" w:rsidRPr="00A533E4" w:rsidRDefault="00A533E4" w:rsidP="00A533E4">
      <w:pPr>
        <w:tabs>
          <w:tab w:val="center" w:pos="5715"/>
        </w:tabs>
        <w:sectPr w:rsidR="000C3226" w:rsidRPr="00A533E4" w:rsidSect="00CE542E">
          <w:headerReference w:type="even" r:id="rId13"/>
          <w:headerReference w:type="default" r:id="rId14"/>
          <w:footerReference w:type="even" r:id="rId15"/>
          <w:footerReference w:type="default" r:id="rId16"/>
          <w:headerReference w:type="first" r:id="rId17"/>
          <w:footerReference w:type="first" r:id="rId18"/>
          <w:pgSz w:w="11907" w:h="16840" w:code="9"/>
          <w:pgMar w:top="238" w:right="238" w:bottom="244" w:left="238" w:header="0" w:footer="0" w:gutter="0"/>
          <w:pgNumType w:fmt="lowerRoman" w:start="1"/>
          <w:cols w:space="709"/>
          <w:titlePg/>
          <w:docGrid w:linePitch="360"/>
        </w:sectPr>
      </w:pPr>
      <w:r>
        <w:tab/>
      </w:r>
    </w:p>
    <w:p w14:paraId="0E7FCA35" w14:textId="77777777" w:rsidR="000E59B7" w:rsidRPr="00B2375C" w:rsidRDefault="000E59B7" w:rsidP="000532A5">
      <w:r w:rsidRPr="00B2375C">
        <w:lastRenderedPageBreak/>
        <w:t>This annual report provides information about the</w:t>
      </w:r>
      <w:r w:rsidR="00B2375C">
        <w:t xml:space="preserve"> </w:t>
      </w:r>
      <w:r w:rsidR="000532A5">
        <w:t>Office of the Inspector-General Emergency Management</w:t>
      </w:r>
      <w:r w:rsidR="00CE0504">
        <w:t xml:space="preserve"> financial and non</w:t>
      </w:r>
      <w:r w:rsidR="00CE0504">
        <w:noBreakHyphen/>
      </w:r>
      <w:r w:rsidRPr="00B2375C">
        <w:t>financial performance for</w:t>
      </w:r>
      <w:r w:rsidRPr="00B2375C">
        <w:rPr>
          <w:i/>
        </w:rPr>
        <w:t xml:space="preserve"> </w:t>
      </w:r>
      <w:r w:rsidRPr="00B2375C">
        <w:t>201</w:t>
      </w:r>
      <w:r w:rsidR="008C7844">
        <w:t>6</w:t>
      </w:r>
      <w:r w:rsidRPr="00B2375C">
        <w:t>-1</w:t>
      </w:r>
      <w:r w:rsidR="008C7844">
        <w:t>7</w:t>
      </w:r>
      <w:r w:rsidRPr="00B2375C">
        <w:t xml:space="preserve">. It has been prepared in accordance with the </w:t>
      </w:r>
      <w:r w:rsidRPr="00B2375C">
        <w:rPr>
          <w:i/>
        </w:rPr>
        <w:t>Financial Accountability Act 2009</w:t>
      </w:r>
      <w:r w:rsidRPr="00B2375C">
        <w:t xml:space="preserve">, the </w:t>
      </w:r>
      <w:r w:rsidRPr="00B2375C">
        <w:rPr>
          <w:i/>
        </w:rPr>
        <w:t>Financial and Performance Management Standard 2009</w:t>
      </w:r>
      <w:r w:rsidRPr="00B2375C">
        <w:t xml:space="preserve"> and the </w:t>
      </w:r>
      <w:r w:rsidRPr="00B2375C">
        <w:rPr>
          <w:i/>
        </w:rPr>
        <w:t>Annual report requirements for Queensland Government agencies</w:t>
      </w:r>
      <w:r w:rsidRPr="00B2375C">
        <w:t>.</w:t>
      </w:r>
    </w:p>
    <w:p w14:paraId="577D1663" w14:textId="77777777" w:rsidR="000E59B7" w:rsidRPr="0086264D" w:rsidRDefault="000E59B7" w:rsidP="000E59B7">
      <w:pPr>
        <w:autoSpaceDE w:val="0"/>
        <w:autoSpaceDN w:val="0"/>
        <w:adjustRightInd w:val="0"/>
        <w:spacing w:before="0" w:after="0"/>
        <w:rPr>
          <w:b/>
          <w:bCs/>
        </w:rPr>
      </w:pPr>
      <w:r w:rsidRPr="0086264D">
        <w:rPr>
          <w:b/>
        </w:rPr>
        <w:t>Enquiries and further information</w:t>
      </w:r>
    </w:p>
    <w:p w14:paraId="74D0CA93" w14:textId="5867A8ED" w:rsidR="00CD1DDD" w:rsidRPr="00183475" w:rsidRDefault="00CD1DDD" w:rsidP="00CD1DDD">
      <w:pPr>
        <w:spacing w:before="0" w:after="0"/>
        <w:rPr>
          <w:rStyle w:val="Hyperlink"/>
          <w:color w:val="AB054C"/>
          <w:szCs w:val="22"/>
        </w:rPr>
      </w:pPr>
      <w:r w:rsidRPr="00E9307B">
        <w:rPr>
          <w:szCs w:val="22"/>
        </w:rPr>
        <w:t>For enquiries or further information about this annual report, please contact the Office of the Inspector-</w:t>
      </w:r>
      <w:r w:rsidR="00824FA6" w:rsidRPr="00E9307B">
        <w:rPr>
          <w:szCs w:val="22"/>
        </w:rPr>
        <w:t xml:space="preserve">General Emergency Management </w:t>
      </w:r>
      <w:r w:rsidR="0050079D" w:rsidRPr="00E9307B">
        <w:rPr>
          <w:szCs w:val="22"/>
        </w:rPr>
        <w:t>t</w:t>
      </w:r>
      <w:r w:rsidR="00824FA6" w:rsidRPr="00E9307B">
        <w:rPr>
          <w:szCs w:val="22"/>
        </w:rPr>
        <w:t xml:space="preserve">elephone </w:t>
      </w:r>
      <w:r w:rsidR="00347C70">
        <w:rPr>
          <w:szCs w:val="22"/>
        </w:rPr>
        <w:t>n</w:t>
      </w:r>
      <w:r w:rsidR="00824FA6" w:rsidRPr="00E9307B">
        <w:rPr>
          <w:szCs w:val="22"/>
        </w:rPr>
        <w:t xml:space="preserve">o.: </w:t>
      </w:r>
      <w:r w:rsidR="0049440E" w:rsidRPr="0049440E">
        <w:rPr>
          <w:szCs w:val="22"/>
        </w:rPr>
        <w:t>(07) 3029 8813</w:t>
      </w:r>
      <w:r w:rsidR="0050079D" w:rsidRPr="0049440E">
        <w:rPr>
          <w:szCs w:val="22"/>
        </w:rPr>
        <w:t>,</w:t>
      </w:r>
      <w:r w:rsidR="0050079D" w:rsidRPr="00E9307B">
        <w:rPr>
          <w:szCs w:val="22"/>
        </w:rPr>
        <w:t xml:space="preserve"> e</w:t>
      </w:r>
      <w:r w:rsidRPr="00E9307B">
        <w:rPr>
          <w:szCs w:val="22"/>
        </w:rPr>
        <w:t xml:space="preserve">mail </w:t>
      </w:r>
      <w:hyperlink r:id="rId19" w:history="1">
        <w:r w:rsidR="00FE1C06" w:rsidRPr="00D6144C">
          <w:rPr>
            <w:rStyle w:val="Hyperlink"/>
            <w:szCs w:val="22"/>
          </w:rPr>
          <w:t>info@igem.qld.gov.au</w:t>
        </w:r>
      </w:hyperlink>
      <w:r w:rsidR="00FE1C06" w:rsidRPr="00FE1C06">
        <w:rPr>
          <w:rStyle w:val="Hyperlink"/>
          <w:color w:val="AB054C"/>
          <w:szCs w:val="22"/>
          <w:u w:val="none"/>
        </w:rPr>
        <w:t xml:space="preserve"> </w:t>
      </w:r>
      <w:r w:rsidR="0050079D" w:rsidRPr="00E9307B">
        <w:rPr>
          <w:szCs w:val="22"/>
        </w:rPr>
        <w:t>or v</w:t>
      </w:r>
      <w:r w:rsidR="00824FA6" w:rsidRPr="00E9307B">
        <w:rPr>
          <w:szCs w:val="22"/>
        </w:rPr>
        <w:t>isit</w:t>
      </w:r>
      <w:r w:rsidR="00824FA6" w:rsidRPr="00E9307B">
        <w:rPr>
          <w:color w:val="AB054C"/>
          <w:szCs w:val="22"/>
        </w:rPr>
        <w:t xml:space="preserve"> </w:t>
      </w:r>
    </w:p>
    <w:p w14:paraId="08F857DA" w14:textId="2DC2A7ED" w:rsidR="00183475" w:rsidRPr="003A2DCF" w:rsidRDefault="006F2417" w:rsidP="00CD1DDD">
      <w:pPr>
        <w:spacing w:before="0" w:after="0"/>
        <w:rPr>
          <w:rStyle w:val="Hyperlink"/>
          <w:color w:val="AB054C"/>
          <w:szCs w:val="22"/>
          <w:u w:val="none"/>
        </w:rPr>
      </w:pPr>
      <w:hyperlink r:id="rId20" w:history="1">
        <w:r w:rsidR="00FE1C06" w:rsidRPr="00D6144C">
          <w:rPr>
            <w:rStyle w:val="Hyperlink"/>
            <w:szCs w:val="22"/>
          </w:rPr>
          <w:t>www.igem.qld.gov.au/Pages/default.aspx</w:t>
        </w:r>
      </w:hyperlink>
      <w:r w:rsidR="00FE1C06">
        <w:rPr>
          <w:szCs w:val="22"/>
        </w:rPr>
        <w:t>.</w:t>
      </w:r>
      <w:r w:rsidR="00FE1C06">
        <w:rPr>
          <w:rStyle w:val="Hyperlink"/>
          <w:color w:val="AB054C"/>
          <w:szCs w:val="22"/>
          <w:u w:val="none"/>
        </w:rPr>
        <w:t xml:space="preserve"> </w:t>
      </w:r>
    </w:p>
    <w:p w14:paraId="3A4EEFC8" w14:textId="4B22D55A" w:rsidR="00443C9C" w:rsidRPr="006266C6" w:rsidRDefault="000E59B7" w:rsidP="00772F1A">
      <w:pPr>
        <w:spacing w:after="100" w:afterAutospacing="1"/>
      </w:pPr>
      <w:r w:rsidRPr="00B2375C">
        <w:t xml:space="preserve">This annual report can be obtained in paper form by calling 13 QGOV (13 7468) or online at </w:t>
      </w:r>
      <w:hyperlink r:id="rId21" w:history="1">
        <w:r w:rsidR="0043220E" w:rsidRPr="00DE06CD">
          <w:rPr>
            <w:rStyle w:val="Hyperlink"/>
          </w:rPr>
          <w:t>https://www.igem.qld.gov.au/reports-and-publications/annual-reports/Pages/default.aspx</w:t>
        </w:r>
      </w:hyperlink>
    </w:p>
    <w:p w14:paraId="01519E3B" w14:textId="77777777" w:rsidR="000E59B7" w:rsidRPr="00446769" w:rsidRDefault="000E59B7" w:rsidP="000E59B7">
      <w:pPr>
        <w:autoSpaceDE w:val="0"/>
        <w:autoSpaceDN w:val="0"/>
        <w:adjustRightInd w:val="0"/>
        <w:spacing w:before="0" w:after="0"/>
        <w:rPr>
          <w:b/>
          <w:bCs/>
        </w:rPr>
      </w:pPr>
      <w:r w:rsidRPr="00446769">
        <w:rPr>
          <w:b/>
        </w:rPr>
        <w:t>Feedback</w:t>
      </w:r>
    </w:p>
    <w:p w14:paraId="332FF75B" w14:textId="2CB5AB6A" w:rsidR="00A43641" w:rsidRPr="00B2375C" w:rsidRDefault="00A43641" w:rsidP="00A43641">
      <w:pPr>
        <w:autoSpaceDE w:val="0"/>
        <w:autoSpaceDN w:val="0"/>
        <w:adjustRightInd w:val="0"/>
        <w:spacing w:before="0" w:after="0"/>
      </w:pPr>
      <w:r w:rsidRPr="00B2375C">
        <w:t xml:space="preserve">Feedback on the annual report can be provided through the </w:t>
      </w:r>
      <w:r w:rsidRPr="00B2375C">
        <w:rPr>
          <w:i/>
        </w:rPr>
        <w:t>Get Involved</w:t>
      </w:r>
      <w:r w:rsidRPr="00B2375C">
        <w:t xml:space="preserve"> website:</w:t>
      </w:r>
      <w:r w:rsidR="00D26F94">
        <w:br/>
      </w:r>
      <w:hyperlink r:id="rId22" w:history="1">
        <w:r w:rsidR="00D26F94" w:rsidRPr="00D26F94">
          <w:rPr>
            <w:rStyle w:val="Hyperlink"/>
          </w:rPr>
          <w:t>www.qld.gov.au/annualreportfeedback</w:t>
        </w:r>
      </w:hyperlink>
    </w:p>
    <w:p w14:paraId="52312132" w14:textId="77777777" w:rsidR="000E59B7" w:rsidRPr="00446769" w:rsidRDefault="000E59B7" w:rsidP="000E59B7">
      <w:pPr>
        <w:autoSpaceDE w:val="0"/>
        <w:autoSpaceDN w:val="0"/>
        <w:adjustRightInd w:val="0"/>
        <w:spacing w:before="100" w:beforeAutospacing="1" w:after="0"/>
        <w:rPr>
          <w:b/>
          <w:bCs/>
        </w:rPr>
      </w:pPr>
      <w:r w:rsidRPr="00446769">
        <w:rPr>
          <w:b/>
        </w:rPr>
        <w:t>Other languages and formats</w:t>
      </w:r>
    </w:p>
    <w:tbl>
      <w:tblPr>
        <w:tblpPr w:leftFromText="180" w:rightFromText="180" w:vertAnchor="text" w:horzAnchor="margin" w:tblpX="-142" w:tblpY="2837"/>
        <w:tblW w:w="9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73"/>
        <w:gridCol w:w="4544"/>
        <w:gridCol w:w="874"/>
        <w:gridCol w:w="3800"/>
      </w:tblGrid>
      <w:tr w:rsidR="006006F2" w:rsidRPr="00341581" w14:paraId="1A9B56A8" w14:textId="77777777" w:rsidTr="00B5229B">
        <w:trPr>
          <w:trHeight w:val="280"/>
        </w:trPr>
        <w:tc>
          <w:tcPr>
            <w:tcW w:w="9991" w:type="dxa"/>
            <w:gridSpan w:val="4"/>
            <w:tcBorders>
              <w:top w:val="nil"/>
              <w:left w:val="nil"/>
              <w:bottom w:val="nil"/>
              <w:right w:val="nil"/>
            </w:tcBorders>
            <w:vAlign w:val="center"/>
          </w:tcPr>
          <w:p w14:paraId="1A466B9E" w14:textId="77777777" w:rsidR="006006F2" w:rsidRPr="00CE0504" w:rsidRDefault="006006F2" w:rsidP="00B5229B">
            <w:pPr>
              <w:pStyle w:val="TableParagraph"/>
              <w:ind w:left="232"/>
              <w:rPr>
                <w:rFonts w:ascii="Arial" w:eastAsia="Arial" w:hAnsi="Arial" w:cs="Arial"/>
                <w:b/>
                <w:sz w:val="20"/>
                <w:szCs w:val="20"/>
              </w:rPr>
            </w:pPr>
            <w:r w:rsidRPr="00CE0504">
              <w:rPr>
                <w:rFonts w:ascii="Arial" w:hAnsi="Arial" w:cs="Arial"/>
                <w:b/>
                <w:sz w:val="20"/>
              </w:rPr>
              <w:t>Office of the Inspector-General Emergency</w:t>
            </w:r>
            <w:r w:rsidRPr="00CE0504">
              <w:rPr>
                <w:rFonts w:ascii="Arial" w:hAnsi="Arial" w:cs="Arial"/>
                <w:b/>
                <w:spacing w:val="-28"/>
                <w:sz w:val="20"/>
              </w:rPr>
              <w:t xml:space="preserve"> </w:t>
            </w:r>
            <w:r w:rsidRPr="00CE0504">
              <w:rPr>
                <w:rFonts w:ascii="Arial" w:hAnsi="Arial" w:cs="Arial"/>
                <w:b/>
                <w:sz w:val="20"/>
              </w:rPr>
              <w:t>Management</w:t>
            </w:r>
          </w:p>
        </w:tc>
      </w:tr>
      <w:tr w:rsidR="006006F2" w:rsidRPr="00341581" w14:paraId="549436DF" w14:textId="77777777" w:rsidTr="00B5229B">
        <w:trPr>
          <w:trHeight w:val="280"/>
        </w:trPr>
        <w:tc>
          <w:tcPr>
            <w:tcW w:w="773" w:type="dxa"/>
            <w:tcBorders>
              <w:top w:val="nil"/>
              <w:left w:val="nil"/>
              <w:bottom w:val="nil"/>
              <w:right w:val="nil"/>
            </w:tcBorders>
            <w:vAlign w:val="center"/>
          </w:tcPr>
          <w:p w14:paraId="54582A3B" w14:textId="77777777" w:rsidR="006006F2" w:rsidRPr="00341581" w:rsidRDefault="006006F2" w:rsidP="00B5229B">
            <w:pPr>
              <w:spacing w:before="0" w:after="0"/>
              <w:jc w:val="center"/>
            </w:pPr>
            <w:r w:rsidRPr="00341581">
              <w:rPr>
                <w:noProof/>
                <w:lang w:val="en-AU" w:eastAsia="en-AU"/>
              </w:rPr>
              <w:drawing>
                <wp:inline distT="0" distB="0" distL="0" distR="0" wp14:anchorId="77B650B7" wp14:editId="284374BE">
                  <wp:extent cx="266700" cy="295275"/>
                  <wp:effectExtent l="0" t="0" r="0" b="9525"/>
                  <wp:docPr id="13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c>
        <w:tc>
          <w:tcPr>
            <w:tcW w:w="9218" w:type="dxa"/>
            <w:gridSpan w:val="3"/>
            <w:tcBorders>
              <w:top w:val="nil"/>
              <w:left w:val="nil"/>
              <w:bottom w:val="nil"/>
              <w:right w:val="nil"/>
            </w:tcBorders>
            <w:vAlign w:val="center"/>
          </w:tcPr>
          <w:p w14:paraId="55590EA8" w14:textId="77777777" w:rsidR="006006F2" w:rsidRPr="00446769" w:rsidRDefault="006F2417" w:rsidP="00B5229B">
            <w:pPr>
              <w:pStyle w:val="TableParagraph"/>
              <w:ind w:left="110"/>
              <w:rPr>
                <w:rFonts w:ascii="Arial" w:eastAsia="Arial" w:hAnsi="Arial" w:cs="Arial"/>
                <w:sz w:val="20"/>
                <w:szCs w:val="20"/>
                <w:u w:val="single"/>
              </w:rPr>
            </w:pPr>
            <w:hyperlink r:id="rId24" w:history="1">
              <w:r w:rsidR="006006F2" w:rsidRPr="00D6144C">
                <w:rPr>
                  <w:rStyle w:val="Hyperlink"/>
                  <w:rFonts w:cs="Arial"/>
                  <w:sz w:val="20"/>
                </w:rPr>
                <w:t>www.facebook.com/InspectorGeneralEmergencyManagement</w:t>
              </w:r>
            </w:hyperlink>
            <w:r w:rsidR="006006F2">
              <w:rPr>
                <w:rFonts w:ascii="Arial" w:hAnsi="Arial" w:cs="Arial"/>
                <w:color w:val="AB054C"/>
                <w:sz w:val="20"/>
                <w:u w:val="single"/>
              </w:rPr>
              <w:t xml:space="preserve"> </w:t>
            </w:r>
          </w:p>
        </w:tc>
      </w:tr>
      <w:tr w:rsidR="006006F2" w:rsidRPr="00341581" w14:paraId="76426305" w14:textId="77777777" w:rsidTr="00B5229B">
        <w:trPr>
          <w:trHeight w:val="280"/>
        </w:trPr>
        <w:tc>
          <w:tcPr>
            <w:tcW w:w="9991" w:type="dxa"/>
            <w:gridSpan w:val="4"/>
            <w:tcBorders>
              <w:top w:val="nil"/>
              <w:left w:val="nil"/>
              <w:bottom w:val="nil"/>
              <w:right w:val="nil"/>
            </w:tcBorders>
            <w:vAlign w:val="center"/>
          </w:tcPr>
          <w:p w14:paraId="5509DBCE" w14:textId="77777777" w:rsidR="006006F2" w:rsidRPr="00CE0504" w:rsidRDefault="006006F2" w:rsidP="00B5229B">
            <w:pPr>
              <w:pStyle w:val="TableParagraph"/>
              <w:ind w:left="232"/>
              <w:rPr>
                <w:rFonts w:ascii="Arial" w:eastAsia="Arial" w:hAnsi="Arial" w:cs="Arial"/>
                <w:b/>
                <w:sz w:val="20"/>
                <w:szCs w:val="20"/>
              </w:rPr>
            </w:pPr>
            <w:r w:rsidRPr="00CE0504">
              <w:rPr>
                <w:rFonts w:ascii="Arial" w:hAnsi="Arial" w:cs="Arial"/>
                <w:b/>
                <w:sz w:val="20"/>
              </w:rPr>
              <w:t>Queensland Fire and Emergency</w:t>
            </w:r>
            <w:r w:rsidRPr="00CE0504">
              <w:rPr>
                <w:rFonts w:ascii="Arial" w:hAnsi="Arial" w:cs="Arial"/>
                <w:b/>
                <w:spacing w:val="-19"/>
                <w:sz w:val="20"/>
              </w:rPr>
              <w:t xml:space="preserve"> </w:t>
            </w:r>
            <w:r w:rsidRPr="00CE0504">
              <w:rPr>
                <w:rFonts w:ascii="Arial" w:hAnsi="Arial" w:cs="Arial"/>
                <w:b/>
                <w:sz w:val="20"/>
              </w:rPr>
              <w:t>Services</w:t>
            </w:r>
          </w:p>
        </w:tc>
      </w:tr>
      <w:tr w:rsidR="006006F2" w:rsidRPr="00341581" w14:paraId="55517B1C" w14:textId="77777777" w:rsidTr="00B5229B">
        <w:trPr>
          <w:trHeight w:val="280"/>
        </w:trPr>
        <w:tc>
          <w:tcPr>
            <w:tcW w:w="773" w:type="dxa"/>
            <w:tcBorders>
              <w:top w:val="nil"/>
              <w:left w:val="nil"/>
              <w:bottom w:val="nil"/>
              <w:right w:val="nil"/>
            </w:tcBorders>
            <w:vAlign w:val="center"/>
          </w:tcPr>
          <w:p w14:paraId="6BDDBA50" w14:textId="77777777" w:rsidR="006006F2" w:rsidRPr="00341581" w:rsidRDefault="006006F2" w:rsidP="00B5229B">
            <w:pPr>
              <w:spacing w:before="0" w:after="0"/>
              <w:jc w:val="center"/>
            </w:pPr>
            <w:r w:rsidRPr="00341581">
              <w:rPr>
                <w:rFonts w:eastAsia="Arial"/>
                <w:noProof/>
                <w:position w:val="-8"/>
                <w:lang w:val="en-AU" w:eastAsia="en-AU"/>
              </w:rPr>
              <w:drawing>
                <wp:inline distT="0" distB="0" distL="0" distR="0" wp14:anchorId="3EE26508" wp14:editId="0E4AACBD">
                  <wp:extent cx="266700" cy="295275"/>
                  <wp:effectExtent l="0" t="0" r="0" b="9525"/>
                  <wp:docPr id="2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c>
        <w:tc>
          <w:tcPr>
            <w:tcW w:w="4544" w:type="dxa"/>
            <w:tcBorders>
              <w:top w:val="nil"/>
              <w:left w:val="nil"/>
              <w:bottom w:val="nil"/>
              <w:right w:val="nil"/>
            </w:tcBorders>
            <w:vAlign w:val="center"/>
          </w:tcPr>
          <w:p w14:paraId="344186E0" w14:textId="77777777" w:rsidR="006006F2" w:rsidRPr="00446769" w:rsidRDefault="006F2417" w:rsidP="00B5229B">
            <w:pPr>
              <w:pStyle w:val="TableParagraph"/>
              <w:ind w:left="110"/>
              <w:rPr>
                <w:rFonts w:ascii="Arial" w:eastAsia="Arial" w:hAnsi="Arial" w:cs="Arial"/>
                <w:sz w:val="20"/>
                <w:szCs w:val="20"/>
                <w:u w:val="single"/>
              </w:rPr>
            </w:pPr>
            <w:hyperlink r:id="rId25" w:history="1">
              <w:r w:rsidR="006006F2" w:rsidRPr="00D6144C">
                <w:rPr>
                  <w:rStyle w:val="Hyperlink"/>
                  <w:rFonts w:cs="Arial"/>
                  <w:sz w:val="20"/>
                </w:rPr>
                <w:t>www.facebook.com/QldFireandRescueService</w:t>
              </w:r>
            </w:hyperlink>
            <w:r w:rsidR="006006F2">
              <w:rPr>
                <w:rFonts w:ascii="Arial" w:hAnsi="Arial" w:cs="Arial"/>
                <w:color w:val="AB054C"/>
                <w:sz w:val="20"/>
                <w:u w:val="single"/>
              </w:rPr>
              <w:t xml:space="preserve"> </w:t>
            </w:r>
          </w:p>
        </w:tc>
        <w:tc>
          <w:tcPr>
            <w:tcW w:w="874" w:type="dxa"/>
            <w:tcBorders>
              <w:top w:val="nil"/>
              <w:left w:val="nil"/>
              <w:bottom w:val="nil"/>
              <w:right w:val="nil"/>
            </w:tcBorders>
            <w:vAlign w:val="center"/>
          </w:tcPr>
          <w:p w14:paraId="50E003EF" w14:textId="77777777" w:rsidR="006006F2" w:rsidRPr="00341581" w:rsidRDefault="006006F2" w:rsidP="00B5229B">
            <w:pPr>
              <w:spacing w:before="0" w:after="0"/>
              <w:jc w:val="center"/>
            </w:pPr>
            <w:r w:rsidRPr="00341581">
              <w:rPr>
                <w:noProof/>
                <w:lang w:val="en-AU" w:eastAsia="en-AU"/>
              </w:rPr>
              <w:drawing>
                <wp:inline distT="0" distB="0" distL="0" distR="0" wp14:anchorId="61D1976A" wp14:editId="40AAA5A9">
                  <wp:extent cx="295275" cy="2762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p>
        </w:tc>
        <w:tc>
          <w:tcPr>
            <w:tcW w:w="3800" w:type="dxa"/>
            <w:tcBorders>
              <w:top w:val="nil"/>
              <w:left w:val="nil"/>
              <w:bottom w:val="nil"/>
              <w:right w:val="nil"/>
            </w:tcBorders>
            <w:vAlign w:val="center"/>
          </w:tcPr>
          <w:p w14:paraId="3D03C962" w14:textId="77777777" w:rsidR="006006F2" w:rsidRPr="00824FA6" w:rsidRDefault="006F2417" w:rsidP="00B5229B">
            <w:pPr>
              <w:pStyle w:val="TableParagraph"/>
              <w:ind w:left="108"/>
              <w:rPr>
                <w:rFonts w:ascii="Arial" w:eastAsia="Arial" w:hAnsi="Arial" w:cs="Arial"/>
                <w:color w:val="AB054C"/>
                <w:sz w:val="20"/>
                <w:szCs w:val="20"/>
                <w:u w:val="single"/>
              </w:rPr>
            </w:pPr>
            <w:hyperlink r:id="rId27" w:history="1">
              <w:r w:rsidR="006006F2" w:rsidRPr="00D6144C">
                <w:rPr>
                  <w:rStyle w:val="Hyperlink"/>
                  <w:rFonts w:cs="Arial"/>
                  <w:sz w:val="20"/>
                </w:rPr>
                <w:t>www.youtube.com/user/FireRescueQld</w:t>
              </w:r>
            </w:hyperlink>
            <w:r w:rsidR="006006F2">
              <w:rPr>
                <w:rFonts w:ascii="Arial" w:hAnsi="Arial" w:cs="Arial"/>
                <w:color w:val="AB054C"/>
                <w:sz w:val="20"/>
                <w:u w:val="single"/>
              </w:rPr>
              <w:t xml:space="preserve"> </w:t>
            </w:r>
          </w:p>
        </w:tc>
      </w:tr>
      <w:tr w:rsidR="006006F2" w:rsidRPr="00341581" w14:paraId="493661C2" w14:textId="77777777" w:rsidTr="00B5229B">
        <w:trPr>
          <w:trHeight w:val="280"/>
        </w:trPr>
        <w:tc>
          <w:tcPr>
            <w:tcW w:w="773" w:type="dxa"/>
            <w:tcBorders>
              <w:top w:val="nil"/>
              <w:left w:val="nil"/>
              <w:bottom w:val="nil"/>
              <w:right w:val="nil"/>
            </w:tcBorders>
            <w:vAlign w:val="center"/>
          </w:tcPr>
          <w:p w14:paraId="31ECB817" w14:textId="77777777" w:rsidR="006006F2" w:rsidRPr="00341581" w:rsidRDefault="006006F2" w:rsidP="00B5229B">
            <w:pPr>
              <w:spacing w:before="0" w:after="0"/>
              <w:jc w:val="center"/>
            </w:pPr>
            <w:r w:rsidRPr="00341581">
              <w:rPr>
                <w:noProof/>
                <w:lang w:val="en-AU" w:eastAsia="en-AU"/>
              </w:rPr>
              <w:drawing>
                <wp:inline distT="0" distB="0" distL="0" distR="0" wp14:anchorId="6DA20A4D" wp14:editId="7C7217DE">
                  <wp:extent cx="276225" cy="30480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p>
        </w:tc>
        <w:tc>
          <w:tcPr>
            <w:tcW w:w="4544" w:type="dxa"/>
            <w:tcBorders>
              <w:top w:val="nil"/>
              <w:left w:val="nil"/>
              <w:bottom w:val="nil"/>
              <w:right w:val="nil"/>
            </w:tcBorders>
            <w:vAlign w:val="center"/>
          </w:tcPr>
          <w:p w14:paraId="615F18CE" w14:textId="77777777" w:rsidR="006006F2" w:rsidRPr="00446769" w:rsidRDefault="006F2417" w:rsidP="00B5229B">
            <w:pPr>
              <w:pStyle w:val="TableParagraph"/>
              <w:ind w:left="109"/>
              <w:rPr>
                <w:rFonts w:ascii="Arial" w:eastAsia="Arial" w:hAnsi="Arial" w:cs="Arial"/>
                <w:sz w:val="20"/>
                <w:szCs w:val="20"/>
                <w:u w:val="single"/>
              </w:rPr>
            </w:pPr>
            <w:hyperlink r:id="rId29" w:history="1">
              <w:r w:rsidR="006006F2" w:rsidRPr="003F06F1">
                <w:rPr>
                  <w:rStyle w:val="Hyperlink"/>
                  <w:rFonts w:eastAsia="Arial" w:cs="Arial"/>
                  <w:sz w:val="20"/>
                  <w:szCs w:val="20"/>
                </w:rPr>
                <w:t>www.twitter.com/QldFES</w:t>
              </w:r>
            </w:hyperlink>
            <w:r w:rsidR="006006F2">
              <w:rPr>
                <w:rFonts w:ascii="Arial" w:eastAsia="Arial" w:hAnsi="Arial" w:cs="Arial"/>
                <w:sz w:val="20"/>
                <w:szCs w:val="20"/>
                <w:u w:val="single"/>
              </w:rPr>
              <w:t xml:space="preserve"> </w:t>
            </w:r>
          </w:p>
        </w:tc>
        <w:tc>
          <w:tcPr>
            <w:tcW w:w="874" w:type="dxa"/>
            <w:tcBorders>
              <w:top w:val="nil"/>
              <w:left w:val="nil"/>
              <w:bottom w:val="nil"/>
              <w:right w:val="nil"/>
            </w:tcBorders>
            <w:vAlign w:val="center"/>
          </w:tcPr>
          <w:p w14:paraId="1847777F" w14:textId="77777777" w:rsidR="006006F2" w:rsidRPr="00341581" w:rsidRDefault="006006F2" w:rsidP="00B5229B">
            <w:pPr>
              <w:spacing w:before="0" w:after="0"/>
              <w:jc w:val="center"/>
            </w:pPr>
            <w:r w:rsidRPr="00341581">
              <w:rPr>
                <w:noProof/>
                <w:lang w:val="en-AU" w:eastAsia="en-AU"/>
              </w:rPr>
              <w:drawing>
                <wp:inline distT="0" distB="0" distL="0" distR="0" wp14:anchorId="400A8F11" wp14:editId="701F5CE9">
                  <wp:extent cx="276225" cy="27622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800" w:type="dxa"/>
            <w:tcBorders>
              <w:top w:val="nil"/>
              <w:left w:val="nil"/>
              <w:bottom w:val="nil"/>
              <w:right w:val="nil"/>
            </w:tcBorders>
            <w:vAlign w:val="center"/>
          </w:tcPr>
          <w:p w14:paraId="08C002C1" w14:textId="77777777" w:rsidR="006006F2" w:rsidRPr="00824FA6" w:rsidRDefault="006F2417" w:rsidP="00B5229B">
            <w:pPr>
              <w:pStyle w:val="TableParagraph"/>
              <w:ind w:left="108"/>
              <w:rPr>
                <w:rFonts w:ascii="Arial" w:eastAsia="Arial" w:hAnsi="Arial" w:cs="Arial"/>
                <w:color w:val="AB054C"/>
                <w:sz w:val="20"/>
                <w:szCs w:val="20"/>
                <w:u w:val="single"/>
              </w:rPr>
            </w:pPr>
            <w:hyperlink r:id="rId31" w:history="1">
              <w:r w:rsidR="006006F2" w:rsidRPr="00D6144C">
                <w:rPr>
                  <w:rStyle w:val="Hyperlink"/>
                  <w:rFonts w:cs="Arial"/>
                  <w:sz w:val="20"/>
                </w:rPr>
                <w:t>www.instagram.com/qldfire/</w:t>
              </w:r>
            </w:hyperlink>
            <w:r w:rsidR="006006F2">
              <w:rPr>
                <w:rFonts w:ascii="Arial" w:hAnsi="Arial" w:cs="Arial"/>
                <w:color w:val="AB054C"/>
                <w:sz w:val="20"/>
                <w:u w:val="single"/>
              </w:rPr>
              <w:t xml:space="preserve"> </w:t>
            </w:r>
          </w:p>
        </w:tc>
      </w:tr>
      <w:tr w:rsidR="006006F2" w:rsidRPr="00341581" w14:paraId="30497584" w14:textId="77777777" w:rsidTr="00B5229B">
        <w:trPr>
          <w:trHeight w:val="280"/>
        </w:trPr>
        <w:tc>
          <w:tcPr>
            <w:tcW w:w="9991" w:type="dxa"/>
            <w:gridSpan w:val="4"/>
            <w:tcBorders>
              <w:top w:val="nil"/>
              <w:left w:val="nil"/>
              <w:bottom w:val="nil"/>
              <w:right w:val="nil"/>
            </w:tcBorders>
            <w:vAlign w:val="center"/>
          </w:tcPr>
          <w:p w14:paraId="4651196E" w14:textId="77777777" w:rsidR="006006F2" w:rsidRPr="00CE0504" w:rsidRDefault="006006F2" w:rsidP="00B5229B">
            <w:pPr>
              <w:pStyle w:val="TableParagraph"/>
              <w:ind w:left="232"/>
              <w:rPr>
                <w:rFonts w:ascii="Arial" w:hAnsi="Arial" w:cs="Arial"/>
                <w:b/>
                <w:sz w:val="20"/>
              </w:rPr>
            </w:pPr>
            <w:r w:rsidRPr="00CE0504">
              <w:rPr>
                <w:rFonts w:ascii="Arial" w:hAnsi="Arial" w:cs="Arial"/>
                <w:b/>
                <w:sz w:val="20"/>
              </w:rPr>
              <w:t>Queensland Police</w:t>
            </w:r>
            <w:r w:rsidRPr="00CE0504">
              <w:rPr>
                <w:rFonts w:ascii="Arial" w:hAnsi="Arial" w:cs="Arial"/>
                <w:b/>
                <w:spacing w:val="-12"/>
                <w:sz w:val="20"/>
              </w:rPr>
              <w:t xml:space="preserve"> </w:t>
            </w:r>
            <w:r w:rsidRPr="00CE0504">
              <w:rPr>
                <w:rFonts w:ascii="Arial" w:hAnsi="Arial" w:cs="Arial"/>
                <w:b/>
                <w:sz w:val="20"/>
              </w:rPr>
              <w:t>Service</w:t>
            </w:r>
          </w:p>
        </w:tc>
      </w:tr>
      <w:tr w:rsidR="006006F2" w:rsidRPr="00341581" w14:paraId="1137C06A" w14:textId="77777777" w:rsidTr="00B5229B">
        <w:trPr>
          <w:trHeight w:val="168"/>
        </w:trPr>
        <w:tc>
          <w:tcPr>
            <w:tcW w:w="773" w:type="dxa"/>
            <w:tcBorders>
              <w:top w:val="nil"/>
              <w:left w:val="nil"/>
              <w:bottom w:val="nil"/>
              <w:right w:val="nil"/>
            </w:tcBorders>
            <w:vAlign w:val="center"/>
          </w:tcPr>
          <w:p w14:paraId="0D2E19A8" w14:textId="77777777" w:rsidR="006006F2" w:rsidRPr="00341581" w:rsidRDefault="006006F2" w:rsidP="00B5229B">
            <w:pPr>
              <w:spacing w:before="0" w:after="0"/>
              <w:jc w:val="center"/>
            </w:pPr>
            <w:r w:rsidRPr="00341581">
              <w:rPr>
                <w:noProof/>
                <w:lang w:val="en-AU" w:eastAsia="en-AU"/>
              </w:rPr>
              <w:drawing>
                <wp:inline distT="0" distB="0" distL="0" distR="0" wp14:anchorId="7E3C3966" wp14:editId="6772E77A">
                  <wp:extent cx="276225" cy="2952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c>
          <w:tcPr>
            <w:tcW w:w="4544" w:type="dxa"/>
            <w:tcBorders>
              <w:top w:val="nil"/>
              <w:left w:val="nil"/>
              <w:bottom w:val="nil"/>
              <w:right w:val="nil"/>
            </w:tcBorders>
            <w:vAlign w:val="center"/>
          </w:tcPr>
          <w:p w14:paraId="3C9AE732" w14:textId="77777777" w:rsidR="006006F2" w:rsidRPr="00824FA6" w:rsidRDefault="006F2417" w:rsidP="00B5229B">
            <w:pPr>
              <w:pStyle w:val="TableParagraph"/>
              <w:ind w:left="110"/>
              <w:rPr>
                <w:rFonts w:ascii="Arial" w:eastAsia="Arial" w:hAnsi="Arial" w:cs="Arial"/>
                <w:color w:val="AB054C"/>
                <w:sz w:val="20"/>
                <w:szCs w:val="20"/>
                <w:u w:val="single"/>
              </w:rPr>
            </w:pPr>
            <w:hyperlink r:id="rId33" w:history="1">
              <w:r w:rsidR="006006F2" w:rsidRPr="00D6144C">
                <w:rPr>
                  <w:rStyle w:val="Hyperlink"/>
                  <w:rFonts w:cs="Arial"/>
                  <w:sz w:val="20"/>
                </w:rPr>
                <w:t>www.mypolice.qld.gov.au/</w:t>
              </w:r>
            </w:hyperlink>
            <w:r w:rsidR="006006F2">
              <w:rPr>
                <w:rFonts w:ascii="Arial" w:hAnsi="Arial" w:cs="Arial"/>
                <w:color w:val="AB054C"/>
                <w:sz w:val="20"/>
                <w:u w:val="single"/>
              </w:rPr>
              <w:t xml:space="preserve"> </w:t>
            </w:r>
          </w:p>
        </w:tc>
        <w:tc>
          <w:tcPr>
            <w:tcW w:w="874" w:type="dxa"/>
            <w:tcBorders>
              <w:top w:val="nil"/>
              <w:left w:val="nil"/>
              <w:bottom w:val="nil"/>
              <w:right w:val="nil"/>
            </w:tcBorders>
            <w:vAlign w:val="center"/>
          </w:tcPr>
          <w:p w14:paraId="1DA4469A" w14:textId="77777777" w:rsidR="006006F2" w:rsidRPr="00341581" w:rsidRDefault="006006F2" w:rsidP="00B5229B">
            <w:pPr>
              <w:spacing w:before="0" w:after="0"/>
              <w:jc w:val="center"/>
            </w:pPr>
            <w:r w:rsidRPr="00341581">
              <w:rPr>
                <w:noProof/>
                <w:lang w:val="en-AU" w:eastAsia="en-AU"/>
              </w:rPr>
              <w:drawing>
                <wp:inline distT="0" distB="0" distL="0" distR="0" wp14:anchorId="3E27230A" wp14:editId="7E7809CD">
                  <wp:extent cx="295275" cy="2762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p>
        </w:tc>
        <w:tc>
          <w:tcPr>
            <w:tcW w:w="3800" w:type="dxa"/>
            <w:tcBorders>
              <w:top w:val="nil"/>
              <w:left w:val="nil"/>
              <w:bottom w:val="nil"/>
              <w:right w:val="nil"/>
            </w:tcBorders>
            <w:vAlign w:val="center"/>
          </w:tcPr>
          <w:p w14:paraId="423548D4" w14:textId="77777777" w:rsidR="006006F2" w:rsidRPr="00824FA6" w:rsidRDefault="006F2417" w:rsidP="00B5229B">
            <w:pPr>
              <w:pStyle w:val="TableParagraph"/>
              <w:ind w:left="108"/>
              <w:rPr>
                <w:rFonts w:ascii="Arial" w:eastAsia="Arial" w:hAnsi="Arial" w:cs="Arial"/>
                <w:color w:val="AB054C"/>
                <w:sz w:val="20"/>
                <w:szCs w:val="20"/>
                <w:u w:val="single"/>
              </w:rPr>
            </w:pPr>
            <w:hyperlink r:id="rId34" w:history="1">
              <w:r w:rsidR="006006F2" w:rsidRPr="00D6144C">
                <w:rPr>
                  <w:rStyle w:val="Hyperlink"/>
                  <w:rFonts w:cs="Arial"/>
                  <w:sz w:val="20"/>
                </w:rPr>
                <w:t>www.youtube.com/QueenslandPolice</w:t>
              </w:r>
            </w:hyperlink>
            <w:r w:rsidR="006006F2">
              <w:rPr>
                <w:rFonts w:ascii="Arial" w:hAnsi="Arial" w:cs="Arial"/>
                <w:color w:val="AB054C"/>
                <w:sz w:val="20"/>
                <w:u w:val="single"/>
              </w:rPr>
              <w:t xml:space="preserve"> </w:t>
            </w:r>
          </w:p>
        </w:tc>
      </w:tr>
      <w:tr w:rsidR="006006F2" w:rsidRPr="00341581" w14:paraId="358767CC" w14:textId="77777777" w:rsidTr="00B5229B">
        <w:trPr>
          <w:trHeight w:val="168"/>
        </w:trPr>
        <w:tc>
          <w:tcPr>
            <w:tcW w:w="773" w:type="dxa"/>
            <w:tcBorders>
              <w:top w:val="nil"/>
              <w:left w:val="nil"/>
              <w:bottom w:val="nil"/>
              <w:right w:val="nil"/>
            </w:tcBorders>
            <w:vAlign w:val="center"/>
          </w:tcPr>
          <w:p w14:paraId="22DD5C5B" w14:textId="77777777" w:rsidR="006006F2" w:rsidRPr="00341581" w:rsidRDefault="006006F2" w:rsidP="00B5229B">
            <w:pPr>
              <w:spacing w:before="0" w:after="0"/>
              <w:jc w:val="center"/>
            </w:pPr>
            <w:r w:rsidRPr="00341581">
              <w:rPr>
                <w:rFonts w:eastAsia="Arial"/>
                <w:noProof/>
                <w:position w:val="-8"/>
                <w:lang w:val="en-AU" w:eastAsia="en-AU"/>
              </w:rPr>
              <w:drawing>
                <wp:inline distT="0" distB="0" distL="0" distR="0" wp14:anchorId="5E1CEF23" wp14:editId="170F00B0">
                  <wp:extent cx="266700" cy="285750"/>
                  <wp:effectExtent l="0" t="0" r="0" b="0"/>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p>
        </w:tc>
        <w:tc>
          <w:tcPr>
            <w:tcW w:w="4544" w:type="dxa"/>
            <w:tcBorders>
              <w:top w:val="nil"/>
              <w:left w:val="nil"/>
              <w:bottom w:val="nil"/>
              <w:right w:val="nil"/>
            </w:tcBorders>
            <w:vAlign w:val="center"/>
          </w:tcPr>
          <w:p w14:paraId="212CCB3A" w14:textId="77777777" w:rsidR="006006F2" w:rsidRPr="00824FA6" w:rsidRDefault="006F2417" w:rsidP="00B5229B">
            <w:pPr>
              <w:pStyle w:val="TableParagraph"/>
              <w:ind w:left="110"/>
              <w:rPr>
                <w:rFonts w:ascii="Arial" w:eastAsia="Arial" w:hAnsi="Arial" w:cs="Arial"/>
                <w:color w:val="AB054C"/>
                <w:sz w:val="20"/>
                <w:szCs w:val="20"/>
                <w:u w:val="single"/>
              </w:rPr>
            </w:pPr>
            <w:hyperlink r:id="rId35" w:history="1">
              <w:r w:rsidR="006006F2" w:rsidRPr="00D6144C">
                <w:rPr>
                  <w:rStyle w:val="Hyperlink"/>
                  <w:rFonts w:cs="Arial"/>
                  <w:sz w:val="20"/>
                </w:rPr>
                <w:t>www.facebook.com/QueenslandPolice</w:t>
              </w:r>
            </w:hyperlink>
            <w:r w:rsidR="006006F2">
              <w:rPr>
                <w:rFonts w:ascii="Arial" w:hAnsi="Arial" w:cs="Arial"/>
                <w:color w:val="AB054C"/>
                <w:sz w:val="20"/>
                <w:u w:val="single"/>
              </w:rPr>
              <w:t xml:space="preserve"> </w:t>
            </w:r>
          </w:p>
        </w:tc>
        <w:tc>
          <w:tcPr>
            <w:tcW w:w="874" w:type="dxa"/>
            <w:tcBorders>
              <w:top w:val="nil"/>
              <w:left w:val="nil"/>
              <w:bottom w:val="nil"/>
              <w:right w:val="nil"/>
            </w:tcBorders>
            <w:vAlign w:val="center"/>
          </w:tcPr>
          <w:p w14:paraId="4E7D4470" w14:textId="77777777" w:rsidR="006006F2" w:rsidRPr="00341581" w:rsidRDefault="006006F2" w:rsidP="00B5229B">
            <w:pPr>
              <w:spacing w:before="0" w:after="0"/>
              <w:jc w:val="center"/>
            </w:pPr>
            <w:r w:rsidRPr="00341581">
              <w:rPr>
                <w:noProof/>
                <w:lang w:val="en-AU" w:eastAsia="en-AU"/>
              </w:rPr>
              <w:drawing>
                <wp:inline distT="0" distB="0" distL="0" distR="0" wp14:anchorId="359A13CA" wp14:editId="72F5FA88">
                  <wp:extent cx="276225" cy="2762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800" w:type="dxa"/>
            <w:tcBorders>
              <w:top w:val="nil"/>
              <w:left w:val="nil"/>
              <w:bottom w:val="nil"/>
              <w:right w:val="nil"/>
            </w:tcBorders>
            <w:vAlign w:val="center"/>
          </w:tcPr>
          <w:p w14:paraId="36B76AC2" w14:textId="77777777" w:rsidR="006006F2" w:rsidRPr="00824FA6" w:rsidRDefault="006F2417" w:rsidP="00B5229B">
            <w:pPr>
              <w:pStyle w:val="TableParagraph"/>
              <w:ind w:left="108"/>
              <w:rPr>
                <w:rFonts w:ascii="Arial" w:eastAsia="Arial" w:hAnsi="Arial" w:cs="Arial"/>
                <w:color w:val="AB054C"/>
                <w:sz w:val="20"/>
                <w:szCs w:val="20"/>
                <w:u w:val="single"/>
              </w:rPr>
            </w:pPr>
            <w:hyperlink r:id="rId36" w:history="1">
              <w:r w:rsidR="006006F2" w:rsidRPr="00D6144C">
                <w:rPr>
                  <w:rStyle w:val="Hyperlink"/>
                  <w:rFonts w:cs="Arial"/>
                  <w:sz w:val="20"/>
                </w:rPr>
                <w:t>www.instagram.com/qldpolice</w:t>
              </w:r>
            </w:hyperlink>
            <w:r w:rsidR="006006F2">
              <w:rPr>
                <w:rFonts w:ascii="Arial" w:hAnsi="Arial" w:cs="Arial"/>
                <w:color w:val="AB054C"/>
                <w:sz w:val="20"/>
                <w:u w:val="single"/>
              </w:rPr>
              <w:t xml:space="preserve"> </w:t>
            </w:r>
          </w:p>
        </w:tc>
      </w:tr>
      <w:tr w:rsidR="006006F2" w:rsidRPr="00341581" w14:paraId="520DD522" w14:textId="77777777" w:rsidTr="00B5229B">
        <w:trPr>
          <w:trHeight w:val="168"/>
        </w:trPr>
        <w:tc>
          <w:tcPr>
            <w:tcW w:w="773" w:type="dxa"/>
            <w:tcBorders>
              <w:top w:val="nil"/>
              <w:left w:val="nil"/>
              <w:bottom w:val="nil"/>
              <w:right w:val="nil"/>
            </w:tcBorders>
            <w:vAlign w:val="center"/>
          </w:tcPr>
          <w:p w14:paraId="26A5D65A" w14:textId="77777777" w:rsidR="006006F2" w:rsidRPr="00341581" w:rsidRDefault="006006F2" w:rsidP="00B5229B">
            <w:pPr>
              <w:spacing w:before="0" w:after="0"/>
              <w:jc w:val="center"/>
            </w:pPr>
            <w:r w:rsidRPr="00341581">
              <w:rPr>
                <w:noProof/>
                <w:lang w:val="en-AU" w:eastAsia="en-AU"/>
              </w:rPr>
              <w:drawing>
                <wp:inline distT="0" distB="0" distL="0" distR="0" wp14:anchorId="61991E8D" wp14:editId="4A35FDD5">
                  <wp:extent cx="276225" cy="3048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p>
        </w:tc>
        <w:tc>
          <w:tcPr>
            <w:tcW w:w="4544" w:type="dxa"/>
            <w:tcBorders>
              <w:top w:val="nil"/>
              <w:left w:val="nil"/>
              <w:bottom w:val="nil"/>
              <w:right w:val="nil"/>
            </w:tcBorders>
            <w:vAlign w:val="center"/>
          </w:tcPr>
          <w:p w14:paraId="431CFAFC" w14:textId="77777777" w:rsidR="006006F2" w:rsidRPr="00824FA6" w:rsidRDefault="006F2417" w:rsidP="00B5229B">
            <w:pPr>
              <w:pStyle w:val="TableParagraph"/>
              <w:ind w:left="110"/>
              <w:rPr>
                <w:rFonts w:ascii="Arial" w:eastAsia="Arial" w:hAnsi="Arial" w:cs="Arial"/>
                <w:color w:val="AB054C"/>
                <w:sz w:val="20"/>
                <w:szCs w:val="20"/>
                <w:u w:val="single"/>
              </w:rPr>
            </w:pPr>
            <w:hyperlink r:id="rId37" w:history="1">
              <w:r w:rsidR="006006F2" w:rsidRPr="003F06F1">
                <w:rPr>
                  <w:rStyle w:val="Hyperlink"/>
                  <w:rFonts w:cs="Arial"/>
                  <w:sz w:val="20"/>
                </w:rPr>
                <w:t>www.twitter.com/qldpolice</w:t>
              </w:r>
            </w:hyperlink>
            <w:r w:rsidR="006006F2">
              <w:rPr>
                <w:rFonts w:ascii="Arial" w:hAnsi="Arial" w:cs="Arial"/>
                <w:color w:val="AB054C"/>
                <w:sz w:val="20"/>
                <w:u w:val="single"/>
              </w:rPr>
              <w:t xml:space="preserve"> </w:t>
            </w:r>
          </w:p>
        </w:tc>
        <w:tc>
          <w:tcPr>
            <w:tcW w:w="874" w:type="dxa"/>
            <w:tcBorders>
              <w:top w:val="nil"/>
              <w:left w:val="nil"/>
              <w:bottom w:val="nil"/>
              <w:right w:val="nil"/>
            </w:tcBorders>
            <w:vAlign w:val="center"/>
          </w:tcPr>
          <w:p w14:paraId="49D5698B" w14:textId="77777777" w:rsidR="006006F2" w:rsidRPr="00341581" w:rsidRDefault="006006F2" w:rsidP="00B5229B">
            <w:pPr>
              <w:spacing w:before="0" w:after="0"/>
              <w:jc w:val="center"/>
            </w:pPr>
            <w:r w:rsidRPr="00341581">
              <w:rPr>
                <w:noProof/>
                <w:lang w:val="en-AU" w:eastAsia="en-AU"/>
              </w:rPr>
              <w:drawing>
                <wp:inline distT="0" distB="0" distL="0" distR="0" wp14:anchorId="1457C2D4" wp14:editId="05D9E874">
                  <wp:extent cx="276225" cy="266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p>
        </w:tc>
        <w:tc>
          <w:tcPr>
            <w:tcW w:w="3800" w:type="dxa"/>
            <w:tcBorders>
              <w:top w:val="nil"/>
              <w:left w:val="nil"/>
              <w:bottom w:val="nil"/>
              <w:right w:val="nil"/>
            </w:tcBorders>
            <w:vAlign w:val="center"/>
          </w:tcPr>
          <w:p w14:paraId="1B3EC4BA" w14:textId="77777777" w:rsidR="006006F2" w:rsidRPr="00824FA6" w:rsidRDefault="006F2417" w:rsidP="00B5229B">
            <w:pPr>
              <w:pStyle w:val="TableParagraph"/>
              <w:ind w:left="108"/>
              <w:rPr>
                <w:rFonts w:ascii="Arial" w:eastAsia="Arial" w:hAnsi="Arial" w:cs="Arial"/>
                <w:color w:val="AB054C"/>
                <w:sz w:val="20"/>
                <w:szCs w:val="20"/>
                <w:u w:val="single"/>
              </w:rPr>
            </w:pPr>
            <w:hyperlink r:id="rId39" w:history="1">
              <w:r w:rsidR="006006F2" w:rsidRPr="00D6144C">
                <w:rPr>
                  <w:rStyle w:val="Hyperlink"/>
                  <w:rFonts w:cs="Arial"/>
                  <w:sz w:val="20"/>
                </w:rPr>
                <w:t>www.pinterest.com/qldpolice/</w:t>
              </w:r>
            </w:hyperlink>
            <w:r w:rsidR="006006F2">
              <w:rPr>
                <w:rFonts w:ascii="Arial" w:hAnsi="Arial" w:cs="Arial"/>
                <w:color w:val="AB054C"/>
                <w:sz w:val="20"/>
                <w:u w:val="single"/>
              </w:rPr>
              <w:t xml:space="preserve"> </w:t>
            </w:r>
          </w:p>
        </w:tc>
      </w:tr>
    </w:tbl>
    <w:p w14:paraId="41D356EA" w14:textId="77777777" w:rsidR="007A4AD3" w:rsidRPr="00B2375C" w:rsidRDefault="000E59B7" w:rsidP="008C50D0">
      <w:pPr>
        <w:autoSpaceDE w:val="0"/>
        <w:autoSpaceDN w:val="0"/>
        <w:adjustRightInd w:val="0"/>
        <w:spacing w:before="0" w:after="0"/>
      </w:pPr>
      <w:r w:rsidRPr="00B2375C">
        <w:rPr>
          <w:noProof/>
          <w:lang w:val="en-AU" w:eastAsia="en-AU"/>
        </w:rPr>
        <w:drawing>
          <wp:anchor distT="0" distB="0" distL="114300" distR="114300" simplePos="0" relativeHeight="251653120" behindDoc="0" locked="0" layoutInCell="1" allowOverlap="1" wp14:anchorId="04FE6AF4" wp14:editId="2F59D614">
            <wp:simplePos x="0" y="0"/>
            <wp:positionH relativeFrom="column">
              <wp:posOffset>6350</wp:posOffset>
            </wp:positionH>
            <wp:positionV relativeFrom="paragraph">
              <wp:posOffset>12065</wp:posOffset>
            </wp:positionV>
            <wp:extent cx="565150" cy="552450"/>
            <wp:effectExtent l="0" t="0" r="6350" b="0"/>
            <wp:wrapSquare wrapText="bothSides"/>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1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375C">
        <w:t>The Queensland Government is committed to providing accessible services to Queenslanders from all cultural and linguistic backgrounds. If you have difficulty understanding this publication and need a translator, please call the Translatin</w:t>
      </w:r>
      <w:r w:rsidR="00EB4121">
        <w:t>g and Interpreting Service (TIS </w:t>
      </w:r>
      <w:r w:rsidRPr="00B2375C">
        <w:t>National) on telephone number 131 450 and an interpreter will</w:t>
      </w:r>
      <w:r w:rsidR="000C3226">
        <w:t xml:space="preserve"> be arranged to communicate the report to you.</w:t>
      </w:r>
      <w:r w:rsidRPr="00B2375C">
        <w:t xml:space="preserve"> </w:t>
      </w:r>
      <w:r w:rsidR="008C50D0">
        <w:br w:type="column"/>
      </w:r>
      <w:r w:rsidR="007A4AD3" w:rsidRPr="00446769">
        <w:rPr>
          <w:b/>
        </w:rPr>
        <w:t>Copyright</w:t>
      </w:r>
    </w:p>
    <w:p w14:paraId="63BA25C6" w14:textId="77777777" w:rsidR="000E59B7" w:rsidRPr="00B2375C" w:rsidRDefault="007A4AD3" w:rsidP="000532A5">
      <w:pPr>
        <w:tabs>
          <w:tab w:val="left" w:pos="1418"/>
        </w:tabs>
        <w:autoSpaceDE w:val="0"/>
        <w:autoSpaceDN w:val="0"/>
        <w:adjustRightInd w:val="0"/>
        <w:spacing w:before="0" w:after="100" w:afterAutospacing="1"/>
        <w:rPr>
          <w:b/>
        </w:rPr>
      </w:pPr>
      <w:r w:rsidRPr="00B2375C">
        <w:t xml:space="preserve">© The State of Queensland, </w:t>
      </w:r>
      <w:r w:rsidR="00D142EC">
        <w:t>Office of the Inspector-General</w:t>
      </w:r>
      <w:r w:rsidR="000532A5">
        <w:t xml:space="preserve"> Emergency Management</w:t>
      </w:r>
      <w:r w:rsidR="00883274">
        <w:t xml:space="preserve"> </w:t>
      </w:r>
      <w:r w:rsidRPr="00B2375C">
        <w:t>201</w:t>
      </w:r>
      <w:r w:rsidR="00ED2D03">
        <w:t>7</w:t>
      </w:r>
      <w:r w:rsidR="00F24BB9">
        <w:t xml:space="preserve">. </w:t>
      </w:r>
    </w:p>
    <w:p w14:paraId="774803CE" w14:textId="77777777" w:rsidR="000E59B7" w:rsidRPr="00446769" w:rsidRDefault="000E59B7" w:rsidP="000E59B7">
      <w:pPr>
        <w:autoSpaceDE w:val="0"/>
        <w:autoSpaceDN w:val="0"/>
        <w:adjustRightInd w:val="0"/>
        <w:spacing w:before="100" w:beforeAutospacing="1" w:after="0"/>
        <w:rPr>
          <w:b/>
          <w:bCs/>
        </w:rPr>
      </w:pPr>
      <w:r w:rsidRPr="00446769">
        <w:rPr>
          <w:b/>
        </w:rPr>
        <w:t>Licence</w:t>
      </w:r>
    </w:p>
    <w:p w14:paraId="20C6DEBD" w14:textId="77777777" w:rsidR="000E59B7" w:rsidRPr="00B2375C" w:rsidRDefault="00347C70" w:rsidP="00347C70">
      <w:pPr>
        <w:autoSpaceDE w:val="0"/>
        <w:autoSpaceDN w:val="0"/>
        <w:adjustRightInd w:val="0"/>
        <w:spacing w:before="0" w:after="0"/>
        <w:ind w:left="1440"/>
      </w:pPr>
      <w:r w:rsidRPr="00B2375C">
        <w:rPr>
          <w:b/>
          <w:noProof/>
          <w:lang w:val="en-AU" w:eastAsia="en-AU"/>
        </w:rPr>
        <w:drawing>
          <wp:anchor distT="0" distB="0" distL="114300" distR="114300" simplePos="0" relativeHeight="251654144" behindDoc="0" locked="0" layoutInCell="1" allowOverlap="1" wp14:anchorId="24768307" wp14:editId="718D5B23">
            <wp:simplePos x="0" y="0"/>
            <wp:positionH relativeFrom="column">
              <wp:align>left</wp:align>
            </wp:positionH>
            <wp:positionV relativeFrom="paragraph">
              <wp:posOffset>83820</wp:posOffset>
            </wp:positionV>
            <wp:extent cx="755650" cy="284480"/>
            <wp:effectExtent l="0" t="0" r="6350" b="1270"/>
            <wp:wrapSquare wrapText="bothSides"/>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5650" cy="2844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59B7" w:rsidRPr="00B2375C">
        <w:t xml:space="preserve">This annual report is licensed by the State of Queensland, </w:t>
      </w:r>
      <w:r w:rsidR="00D142EC">
        <w:t>Office of the Inspector-General</w:t>
      </w:r>
      <w:r w:rsidR="000532A5">
        <w:t xml:space="preserve"> Emergency Management</w:t>
      </w:r>
      <w:r w:rsidR="000E59B7" w:rsidRPr="00B2375C">
        <w:t xml:space="preserve"> under a Creative </w:t>
      </w:r>
      <w:r w:rsidR="000E59B7" w:rsidRPr="00824FA6">
        <w:t xml:space="preserve">Commons Attribution (CC BY) </w:t>
      </w:r>
      <w:r w:rsidR="00805C7F" w:rsidRPr="00824FA6">
        <w:t>4.0 </w:t>
      </w:r>
      <w:r w:rsidR="000E59B7" w:rsidRPr="00824FA6">
        <w:t>Australia licence.</w:t>
      </w:r>
    </w:p>
    <w:p w14:paraId="085BB787" w14:textId="77777777" w:rsidR="000E59B7" w:rsidRPr="00B2375C" w:rsidRDefault="000E59B7" w:rsidP="000E59B7">
      <w:pPr>
        <w:autoSpaceDE w:val="0"/>
        <w:autoSpaceDN w:val="0"/>
        <w:adjustRightInd w:val="0"/>
        <w:spacing w:before="0" w:after="0"/>
        <w:rPr>
          <w:sz w:val="4"/>
          <w:szCs w:val="4"/>
        </w:rPr>
      </w:pPr>
    </w:p>
    <w:p w14:paraId="419C78BB" w14:textId="77777777" w:rsidR="000E59B7" w:rsidRPr="00446769" w:rsidRDefault="000E59B7" w:rsidP="000E59B7">
      <w:pPr>
        <w:autoSpaceDE w:val="0"/>
        <w:autoSpaceDN w:val="0"/>
        <w:adjustRightInd w:val="0"/>
        <w:spacing w:before="100" w:beforeAutospacing="1" w:after="0"/>
        <w:rPr>
          <w:b/>
          <w:bCs/>
        </w:rPr>
      </w:pPr>
      <w:r w:rsidRPr="00446769">
        <w:rPr>
          <w:b/>
        </w:rPr>
        <w:t>CC BY Licence Summary Statement</w:t>
      </w:r>
    </w:p>
    <w:p w14:paraId="2AD06ABD" w14:textId="369C353C" w:rsidR="000E59B7" w:rsidRPr="00B2375C" w:rsidRDefault="000E59B7" w:rsidP="000E59B7">
      <w:pPr>
        <w:autoSpaceDE w:val="0"/>
        <w:autoSpaceDN w:val="0"/>
        <w:adjustRightInd w:val="0"/>
        <w:spacing w:before="0" w:after="0"/>
      </w:pPr>
      <w:r w:rsidRPr="00B2375C">
        <w:t xml:space="preserve">In essence, you are free to copy, communicate and adapt this annual report, as long as you attribute the work to the State of Queensland, </w:t>
      </w:r>
      <w:r w:rsidR="000532A5">
        <w:t>O</w:t>
      </w:r>
      <w:r w:rsidR="00D142EC">
        <w:t xml:space="preserve">ffice of the Inspector-General </w:t>
      </w:r>
      <w:r w:rsidR="000532A5">
        <w:t>Emergency Mana</w:t>
      </w:r>
      <w:r w:rsidR="000532A5" w:rsidRPr="00A8123D">
        <w:t>gement</w:t>
      </w:r>
      <w:r w:rsidRPr="00A8123D">
        <w:t>. To view</w:t>
      </w:r>
      <w:r w:rsidRPr="00B2375C">
        <w:t xml:space="preserve"> a copy of this licence, visit: </w:t>
      </w:r>
      <w:hyperlink r:id="rId42" w:history="1">
        <w:r w:rsidR="00FE1C06" w:rsidRPr="00FE1C06">
          <w:rPr>
            <w:rStyle w:val="Hyperlink"/>
            <w:u w:val="none"/>
          </w:rPr>
          <w:t>www.creativecommons.org/licenses/by/3.0/au/deed.en</w:t>
        </w:r>
      </w:hyperlink>
      <w:r w:rsidR="00FE1C06" w:rsidRPr="00FE1C06">
        <w:rPr>
          <w:rStyle w:val="Hyperlink"/>
          <w:u w:val="none"/>
        </w:rPr>
        <w:t xml:space="preserve">. </w:t>
      </w:r>
    </w:p>
    <w:p w14:paraId="189B8F1B" w14:textId="77777777" w:rsidR="000E59B7" w:rsidRPr="00446769" w:rsidRDefault="000E59B7" w:rsidP="000E59B7">
      <w:pPr>
        <w:autoSpaceDE w:val="0"/>
        <w:autoSpaceDN w:val="0"/>
        <w:adjustRightInd w:val="0"/>
        <w:spacing w:before="100" w:beforeAutospacing="1" w:after="0"/>
        <w:rPr>
          <w:b/>
          <w:bCs/>
        </w:rPr>
      </w:pPr>
      <w:r w:rsidRPr="00446769">
        <w:rPr>
          <w:b/>
        </w:rPr>
        <w:t>Attribution</w:t>
      </w:r>
    </w:p>
    <w:p w14:paraId="22CDCC5D" w14:textId="77777777" w:rsidR="000E59B7" w:rsidRPr="00540AAC" w:rsidRDefault="000E59B7" w:rsidP="000E59B7">
      <w:pPr>
        <w:autoSpaceDE w:val="0"/>
        <w:autoSpaceDN w:val="0"/>
        <w:adjustRightInd w:val="0"/>
        <w:spacing w:before="0" w:after="0"/>
      </w:pPr>
      <w:r w:rsidRPr="00B2375C">
        <w:t>Content from this annual report should be attributed as: The State of Queensland,</w:t>
      </w:r>
      <w:r w:rsidR="00B2375C" w:rsidRPr="00B2375C">
        <w:t xml:space="preserve"> </w:t>
      </w:r>
      <w:r w:rsidR="00D142EC">
        <w:t>Office of the Inspector-General</w:t>
      </w:r>
      <w:r w:rsidR="000532A5">
        <w:t xml:space="preserve"> Emergency Management</w:t>
      </w:r>
      <w:r w:rsidR="00540AAC" w:rsidRPr="00540AAC">
        <w:t xml:space="preserve"> </w:t>
      </w:r>
      <w:r w:rsidRPr="00540AAC">
        <w:t>Annual Report 201</w:t>
      </w:r>
      <w:r w:rsidR="00BB14D3">
        <w:t>6</w:t>
      </w:r>
      <w:r w:rsidRPr="00540AAC">
        <w:t>-1</w:t>
      </w:r>
      <w:r w:rsidR="00BB14D3">
        <w:t>7</w:t>
      </w:r>
      <w:r w:rsidRPr="00540AAC">
        <w:t>.</w:t>
      </w:r>
    </w:p>
    <w:p w14:paraId="4C25BF30" w14:textId="77777777" w:rsidR="000E59B7" w:rsidRPr="00446769" w:rsidRDefault="000E59B7" w:rsidP="000E59B7">
      <w:pPr>
        <w:spacing w:before="100" w:beforeAutospacing="1" w:after="0"/>
        <w:rPr>
          <w:b/>
          <w:bCs/>
        </w:rPr>
      </w:pPr>
      <w:r w:rsidRPr="00446769">
        <w:rPr>
          <w:b/>
        </w:rPr>
        <w:t xml:space="preserve">ISSN:  </w:t>
      </w:r>
      <w:r w:rsidRPr="00446769">
        <w:rPr>
          <w:b/>
        </w:rPr>
        <w:tab/>
      </w:r>
    </w:p>
    <w:p w14:paraId="5F245F24" w14:textId="77777777" w:rsidR="000532A5" w:rsidRDefault="000532A5" w:rsidP="00824FA6">
      <w:pPr>
        <w:tabs>
          <w:tab w:val="left" w:pos="851"/>
        </w:tabs>
        <w:spacing w:before="0" w:after="0"/>
      </w:pPr>
      <w:r>
        <w:t>Online</w:t>
      </w:r>
      <w:r w:rsidR="008F1569">
        <w:t>:</w:t>
      </w:r>
      <w:r>
        <w:t xml:space="preserve"> </w:t>
      </w:r>
      <w:r w:rsidR="00824FA6">
        <w:tab/>
      </w:r>
      <w:r>
        <w:t xml:space="preserve">2205-6548 </w:t>
      </w:r>
    </w:p>
    <w:p w14:paraId="1162C598" w14:textId="73319FD4" w:rsidR="006006F2" w:rsidRDefault="000532A5" w:rsidP="00824FA6">
      <w:pPr>
        <w:tabs>
          <w:tab w:val="left" w:pos="851"/>
        </w:tabs>
        <w:spacing w:before="0" w:after="0"/>
      </w:pPr>
      <w:r>
        <w:t>Print</w:t>
      </w:r>
      <w:r w:rsidR="008F1569">
        <w:t>:</w:t>
      </w:r>
      <w:r>
        <w:t xml:space="preserve"> </w:t>
      </w:r>
      <w:r w:rsidR="00824FA6">
        <w:tab/>
      </w:r>
      <w:r>
        <w:t>2206-1444</w:t>
      </w:r>
    </w:p>
    <w:p w14:paraId="46589207" w14:textId="406028B5" w:rsidR="000E59B7" w:rsidRDefault="006006F2" w:rsidP="006006F2">
      <w:r>
        <w:br w:type="page"/>
      </w:r>
    </w:p>
    <w:p w14:paraId="54BACE3C" w14:textId="77777777" w:rsidR="006006F2" w:rsidRDefault="006006F2" w:rsidP="006006F2">
      <w:pPr>
        <w:pStyle w:val="Heading2"/>
      </w:pPr>
      <w:bookmarkStart w:id="0" w:name="_Toc415049790"/>
      <w:bookmarkStart w:id="1" w:name="_Toc415050342"/>
      <w:bookmarkStart w:id="2" w:name="_Toc441671793"/>
      <w:bookmarkStart w:id="3" w:name="_Toc441672081"/>
      <w:bookmarkStart w:id="4" w:name="_Toc442168869"/>
      <w:bookmarkStart w:id="5" w:name="_Toc460406665"/>
      <w:bookmarkStart w:id="6" w:name="_Toc460406815"/>
      <w:bookmarkStart w:id="7" w:name="_Toc460406851"/>
      <w:bookmarkStart w:id="8" w:name="_Toc460406930"/>
      <w:bookmarkStart w:id="9" w:name="_Toc460407044"/>
      <w:bookmarkStart w:id="10" w:name="_Toc492622940"/>
      <w:r>
        <w:rPr>
          <w:noProof/>
          <w:lang w:val="en-AU" w:eastAsia="en-AU"/>
        </w:rPr>
        <w:lastRenderedPageBreak/>
        <w:drawing>
          <wp:anchor distT="0" distB="0" distL="114300" distR="114300" simplePos="0" relativeHeight="251706368" behindDoc="1" locked="0" layoutInCell="1" allowOverlap="1" wp14:anchorId="1D86C504" wp14:editId="5640EF89">
            <wp:simplePos x="0" y="0"/>
            <wp:positionH relativeFrom="column">
              <wp:posOffset>-415290</wp:posOffset>
            </wp:positionH>
            <wp:positionV relativeFrom="paragraph">
              <wp:posOffset>398780</wp:posOffset>
            </wp:positionV>
            <wp:extent cx="6755765" cy="8648700"/>
            <wp:effectExtent l="0" t="0" r="6985" b="0"/>
            <wp:wrapTight wrapText="bothSides">
              <wp:wrapPolygon edited="0">
                <wp:start x="0" y="0"/>
                <wp:lineTo x="0" y="21552"/>
                <wp:lineTo x="21561" y="21552"/>
                <wp:lineTo x="21561"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LOC_0917V2.jpg"/>
                    <pic:cNvPicPr/>
                  </pic:nvPicPr>
                  <pic:blipFill>
                    <a:blip r:embed="rId43">
                      <a:extLst>
                        <a:ext uri="{28A0092B-C50C-407E-A947-70E740481C1C}">
                          <a14:useLocalDpi xmlns:a14="http://schemas.microsoft.com/office/drawing/2010/main" val="0"/>
                        </a:ext>
                      </a:extLst>
                    </a:blip>
                    <a:stretch>
                      <a:fillRect/>
                    </a:stretch>
                  </pic:blipFill>
                  <pic:spPr>
                    <a:xfrm>
                      <a:off x="0" y="0"/>
                      <a:ext cx="6755765" cy="8648700"/>
                    </a:xfrm>
                    <a:prstGeom prst="rect">
                      <a:avLst/>
                    </a:prstGeom>
                  </pic:spPr>
                </pic:pic>
              </a:graphicData>
            </a:graphic>
            <wp14:sizeRelH relativeFrom="page">
              <wp14:pctWidth>0</wp14:pctWidth>
            </wp14:sizeRelH>
            <wp14:sizeRelV relativeFrom="page">
              <wp14:pctHeight>0</wp14:pctHeight>
            </wp14:sizeRelV>
          </wp:anchor>
        </w:drawing>
      </w:r>
      <w:r w:rsidRPr="006E1C5C">
        <w:t>Letter of compliance</w:t>
      </w:r>
      <w:bookmarkEnd w:id="0"/>
      <w:bookmarkEnd w:id="1"/>
      <w:bookmarkEnd w:id="2"/>
      <w:bookmarkEnd w:id="3"/>
      <w:bookmarkEnd w:id="4"/>
      <w:bookmarkEnd w:id="5"/>
      <w:bookmarkEnd w:id="6"/>
      <w:bookmarkEnd w:id="7"/>
      <w:bookmarkEnd w:id="8"/>
      <w:bookmarkEnd w:id="9"/>
      <w:bookmarkEnd w:id="10"/>
      <w:r w:rsidRPr="006E1C5C">
        <w:t xml:space="preserve"> </w:t>
      </w:r>
    </w:p>
    <w:p w14:paraId="0DA365A3" w14:textId="77777777" w:rsidR="000E59B7" w:rsidRPr="00341581" w:rsidRDefault="000E59B7" w:rsidP="000E59B7">
      <w:pPr>
        <w:spacing w:before="0" w:after="0"/>
        <w:ind w:left="567" w:firstLine="567"/>
        <w:rPr>
          <w:bCs/>
        </w:rPr>
      </w:pPr>
    </w:p>
    <w:p w14:paraId="507EDDFA" w14:textId="77777777" w:rsidR="000E59B7" w:rsidRPr="00341581" w:rsidRDefault="000E59B7" w:rsidP="006006F2">
      <w:pPr>
        <w:spacing w:before="0" w:after="0"/>
        <w:rPr>
          <w:bCs/>
        </w:rPr>
        <w:sectPr w:rsidR="000E59B7" w:rsidRPr="00341581" w:rsidSect="00D74385">
          <w:headerReference w:type="even" r:id="rId44"/>
          <w:headerReference w:type="default" r:id="rId45"/>
          <w:headerReference w:type="first" r:id="rId46"/>
          <w:footerReference w:type="first" r:id="rId47"/>
          <w:pgSz w:w="11907" w:h="16840" w:code="9"/>
          <w:pgMar w:top="720" w:right="964" w:bottom="720" w:left="1134" w:header="567" w:footer="567" w:gutter="0"/>
          <w:pgNumType w:fmt="lowerRoman" w:start="1"/>
          <w:cols w:num="2" w:space="709"/>
          <w:docGrid w:linePitch="360"/>
        </w:sectPr>
      </w:pPr>
    </w:p>
    <w:p w14:paraId="64C4FE65" w14:textId="77777777" w:rsidR="000E59B7" w:rsidRPr="00341581" w:rsidRDefault="000E59B7" w:rsidP="006006F2">
      <w:pPr>
        <w:rPr>
          <w:bCs/>
        </w:rPr>
        <w:sectPr w:rsidR="000E59B7" w:rsidRPr="00341581" w:rsidSect="00D74385">
          <w:type w:val="continuous"/>
          <w:pgSz w:w="11907" w:h="16840" w:code="9"/>
          <w:pgMar w:top="720" w:right="851" w:bottom="720" w:left="1134" w:header="567" w:footer="567" w:gutter="0"/>
          <w:pgNumType w:fmt="lowerRoman" w:start="1"/>
          <w:cols w:num="2" w:space="709"/>
          <w:titlePg/>
          <w:docGrid w:linePitch="360"/>
        </w:sectPr>
      </w:pPr>
    </w:p>
    <w:p w14:paraId="1FB610AF" w14:textId="182B4B85" w:rsidR="000C584F" w:rsidRDefault="000C584F" w:rsidP="000C584F"/>
    <w:p w14:paraId="34F5E972" w14:textId="0627E704" w:rsidR="00F338E8" w:rsidRPr="001D617A" w:rsidRDefault="00F338E8" w:rsidP="00D77F80">
      <w:pPr>
        <w:pStyle w:val="Heading1"/>
        <w:ind w:left="0" w:right="77"/>
      </w:pPr>
      <w:bookmarkStart w:id="11" w:name="_Toc460406666"/>
      <w:bookmarkStart w:id="12" w:name="_Toc460406816"/>
      <w:bookmarkStart w:id="13" w:name="_Toc460406852"/>
      <w:bookmarkStart w:id="14" w:name="_Toc460406931"/>
      <w:bookmarkStart w:id="15" w:name="_Toc460407045"/>
      <w:bookmarkStart w:id="16" w:name="_Toc492622941"/>
      <w:r w:rsidRPr="001D617A">
        <w:t xml:space="preserve">Table of </w:t>
      </w:r>
      <w:r w:rsidR="00D92C5C" w:rsidRPr="001D617A">
        <w:t>c</w:t>
      </w:r>
      <w:r w:rsidRPr="001D617A">
        <w:t>ontents</w:t>
      </w:r>
      <w:bookmarkEnd w:id="11"/>
      <w:bookmarkEnd w:id="12"/>
      <w:bookmarkEnd w:id="13"/>
      <w:bookmarkEnd w:id="14"/>
      <w:bookmarkEnd w:id="15"/>
      <w:bookmarkEnd w:id="16"/>
      <w:r w:rsidRPr="001D617A">
        <w:tab/>
      </w:r>
    </w:p>
    <w:p w14:paraId="61917E3E" w14:textId="77777777" w:rsidR="008F02C1" w:rsidRDefault="0076456D" w:rsidP="008F02C1">
      <w:pPr>
        <w:pStyle w:val="TOC2"/>
        <w:ind w:left="-142"/>
        <w:rPr>
          <w:rFonts w:asciiTheme="minorHAnsi" w:eastAsiaTheme="minorEastAsia" w:hAnsiTheme="minorHAnsi" w:cstheme="minorBidi"/>
          <w:kern w:val="0"/>
          <w:szCs w:val="22"/>
          <w:lang w:val="en-AU" w:eastAsia="en-AU"/>
        </w:rPr>
      </w:pPr>
      <w:r>
        <w:fldChar w:fldCharType="begin"/>
      </w:r>
      <w:r>
        <w:instrText xml:space="preserve"> TOC \o "1-2" \h \z \u </w:instrText>
      </w:r>
      <w:r>
        <w:fldChar w:fldCharType="separate"/>
      </w:r>
      <w:hyperlink w:anchor="_Toc492622940" w:history="1">
        <w:r w:rsidR="008F02C1" w:rsidRPr="00D97A4D">
          <w:rPr>
            <w:rStyle w:val="Hyperlink"/>
          </w:rPr>
          <w:t>Letter of compliance</w:t>
        </w:r>
        <w:r w:rsidR="008F02C1">
          <w:rPr>
            <w:webHidden/>
          </w:rPr>
          <w:tab/>
        </w:r>
        <w:r w:rsidR="008F02C1">
          <w:rPr>
            <w:webHidden/>
          </w:rPr>
          <w:fldChar w:fldCharType="begin"/>
        </w:r>
        <w:r w:rsidR="008F02C1">
          <w:rPr>
            <w:webHidden/>
          </w:rPr>
          <w:instrText xml:space="preserve"> PAGEREF _Toc492622940 \h </w:instrText>
        </w:r>
        <w:r w:rsidR="008F02C1">
          <w:rPr>
            <w:webHidden/>
          </w:rPr>
        </w:r>
        <w:r w:rsidR="008F02C1">
          <w:rPr>
            <w:webHidden/>
          </w:rPr>
          <w:fldChar w:fldCharType="separate"/>
        </w:r>
        <w:r w:rsidR="006F2417">
          <w:rPr>
            <w:webHidden/>
          </w:rPr>
          <w:t>ii</w:t>
        </w:r>
        <w:r w:rsidR="008F02C1">
          <w:rPr>
            <w:webHidden/>
          </w:rPr>
          <w:fldChar w:fldCharType="end"/>
        </w:r>
      </w:hyperlink>
    </w:p>
    <w:p w14:paraId="25A5087C"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41" w:history="1">
        <w:r w:rsidR="008F02C1" w:rsidRPr="00D97A4D">
          <w:rPr>
            <w:rStyle w:val="Hyperlink"/>
            <w:noProof/>
          </w:rPr>
          <w:t>Table of contents</w:t>
        </w:r>
        <w:r w:rsidR="008F02C1">
          <w:rPr>
            <w:noProof/>
            <w:webHidden/>
          </w:rPr>
          <w:tab/>
        </w:r>
        <w:r w:rsidR="008F02C1">
          <w:rPr>
            <w:noProof/>
            <w:webHidden/>
          </w:rPr>
          <w:fldChar w:fldCharType="begin"/>
        </w:r>
        <w:r w:rsidR="008F02C1">
          <w:rPr>
            <w:noProof/>
            <w:webHidden/>
          </w:rPr>
          <w:instrText xml:space="preserve"> PAGEREF _Toc492622941 \h </w:instrText>
        </w:r>
        <w:r w:rsidR="008F02C1">
          <w:rPr>
            <w:noProof/>
            <w:webHidden/>
          </w:rPr>
        </w:r>
        <w:r w:rsidR="008F02C1">
          <w:rPr>
            <w:noProof/>
            <w:webHidden/>
          </w:rPr>
          <w:fldChar w:fldCharType="separate"/>
        </w:r>
        <w:r>
          <w:rPr>
            <w:noProof/>
            <w:webHidden/>
          </w:rPr>
          <w:t>1</w:t>
        </w:r>
        <w:r w:rsidR="008F02C1">
          <w:rPr>
            <w:noProof/>
            <w:webHidden/>
          </w:rPr>
          <w:fldChar w:fldCharType="end"/>
        </w:r>
      </w:hyperlink>
    </w:p>
    <w:p w14:paraId="47434F78"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2" w:history="1">
        <w:r w:rsidR="008F02C1" w:rsidRPr="00D97A4D">
          <w:rPr>
            <w:rStyle w:val="Hyperlink"/>
          </w:rPr>
          <w:t>Inspector-General’s message</w:t>
        </w:r>
        <w:r w:rsidR="008F02C1">
          <w:rPr>
            <w:webHidden/>
          </w:rPr>
          <w:tab/>
        </w:r>
        <w:r w:rsidR="008F02C1">
          <w:rPr>
            <w:webHidden/>
          </w:rPr>
          <w:fldChar w:fldCharType="begin"/>
        </w:r>
        <w:r w:rsidR="008F02C1">
          <w:rPr>
            <w:webHidden/>
          </w:rPr>
          <w:instrText xml:space="preserve"> PAGEREF _Toc492622942 \h </w:instrText>
        </w:r>
        <w:r w:rsidR="008F02C1">
          <w:rPr>
            <w:webHidden/>
          </w:rPr>
        </w:r>
        <w:r w:rsidR="008F02C1">
          <w:rPr>
            <w:webHidden/>
          </w:rPr>
          <w:fldChar w:fldCharType="separate"/>
        </w:r>
        <w:r>
          <w:rPr>
            <w:webHidden/>
          </w:rPr>
          <w:t>2</w:t>
        </w:r>
        <w:r w:rsidR="008F02C1">
          <w:rPr>
            <w:webHidden/>
          </w:rPr>
          <w:fldChar w:fldCharType="end"/>
        </w:r>
      </w:hyperlink>
    </w:p>
    <w:p w14:paraId="7C4C80F0"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43" w:history="1">
        <w:r w:rsidR="008F02C1" w:rsidRPr="00D97A4D">
          <w:rPr>
            <w:rStyle w:val="Hyperlink"/>
            <w:noProof/>
          </w:rPr>
          <w:t>Overview</w:t>
        </w:r>
        <w:r w:rsidR="008F02C1">
          <w:rPr>
            <w:noProof/>
            <w:webHidden/>
          </w:rPr>
          <w:tab/>
        </w:r>
        <w:r w:rsidR="008F02C1">
          <w:rPr>
            <w:noProof/>
            <w:webHidden/>
          </w:rPr>
          <w:fldChar w:fldCharType="begin"/>
        </w:r>
        <w:r w:rsidR="008F02C1">
          <w:rPr>
            <w:noProof/>
            <w:webHidden/>
          </w:rPr>
          <w:instrText xml:space="preserve"> PAGEREF _Toc492622943 \h </w:instrText>
        </w:r>
        <w:r w:rsidR="008F02C1">
          <w:rPr>
            <w:noProof/>
            <w:webHidden/>
          </w:rPr>
        </w:r>
        <w:r w:rsidR="008F02C1">
          <w:rPr>
            <w:noProof/>
            <w:webHidden/>
          </w:rPr>
          <w:fldChar w:fldCharType="separate"/>
        </w:r>
        <w:r>
          <w:rPr>
            <w:noProof/>
            <w:webHidden/>
          </w:rPr>
          <w:t>4</w:t>
        </w:r>
        <w:r w:rsidR="008F02C1">
          <w:rPr>
            <w:noProof/>
            <w:webHidden/>
          </w:rPr>
          <w:fldChar w:fldCharType="end"/>
        </w:r>
      </w:hyperlink>
    </w:p>
    <w:p w14:paraId="1DFB68EE"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4" w:history="1">
        <w:r w:rsidR="008F02C1" w:rsidRPr="00D97A4D">
          <w:rPr>
            <w:rStyle w:val="Hyperlink"/>
          </w:rPr>
          <w:t>Public safety portfolio overview</w:t>
        </w:r>
        <w:r w:rsidR="008F02C1">
          <w:rPr>
            <w:webHidden/>
          </w:rPr>
          <w:tab/>
        </w:r>
        <w:r w:rsidR="008F02C1">
          <w:rPr>
            <w:webHidden/>
          </w:rPr>
          <w:fldChar w:fldCharType="begin"/>
        </w:r>
        <w:r w:rsidR="008F02C1">
          <w:rPr>
            <w:webHidden/>
          </w:rPr>
          <w:instrText xml:space="preserve"> PAGEREF _Toc492622944 \h </w:instrText>
        </w:r>
        <w:r w:rsidR="008F02C1">
          <w:rPr>
            <w:webHidden/>
          </w:rPr>
        </w:r>
        <w:r w:rsidR="008F02C1">
          <w:rPr>
            <w:webHidden/>
          </w:rPr>
          <w:fldChar w:fldCharType="separate"/>
        </w:r>
        <w:r>
          <w:rPr>
            <w:webHidden/>
          </w:rPr>
          <w:t>4</w:t>
        </w:r>
        <w:r w:rsidR="008F02C1">
          <w:rPr>
            <w:webHidden/>
          </w:rPr>
          <w:fldChar w:fldCharType="end"/>
        </w:r>
      </w:hyperlink>
    </w:p>
    <w:p w14:paraId="50F5421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5" w:history="1">
        <w:r w:rsidR="008F02C1" w:rsidRPr="00D97A4D">
          <w:rPr>
            <w:rStyle w:val="Hyperlink"/>
          </w:rPr>
          <w:t>Legislation administered by the portfolio</w:t>
        </w:r>
        <w:r w:rsidR="008F02C1">
          <w:rPr>
            <w:webHidden/>
          </w:rPr>
          <w:tab/>
        </w:r>
        <w:r w:rsidR="008F02C1">
          <w:rPr>
            <w:webHidden/>
          </w:rPr>
          <w:fldChar w:fldCharType="begin"/>
        </w:r>
        <w:r w:rsidR="008F02C1">
          <w:rPr>
            <w:webHidden/>
          </w:rPr>
          <w:instrText xml:space="preserve"> PAGEREF _Toc492622945 \h </w:instrText>
        </w:r>
        <w:r w:rsidR="008F02C1">
          <w:rPr>
            <w:webHidden/>
          </w:rPr>
        </w:r>
        <w:r w:rsidR="008F02C1">
          <w:rPr>
            <w:webHidden/>
          </w:rPr>
          <w:fldChar w:fldCharType="separate"/>
        </w:r>
        <w:r>
          <w:rPr>
            <w:webHidden/>
          </w:rPr>
          <w:t>7</w:t>
        </w:r>
        <w:r w:rsidR="008F02C1">
          <w:rPr>
            <w:webHidden/>
          </w:rPr>
          <w:fldChar w:fldCharType="end"/>
        </w:r>
      </w:hyperlink>
    </w:p>
    <w:p w14:paraId="6BF6093B"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6" w:history="1">
        <w:r w:rsidR="008F02C1" w:rsidRPr="00D97A4D">
          <w:rPr>
            <w:rStyle w:val="Hyperlink"/>
          </w:rPr>
          <w:t>Machinery-of-government changes</w:t>
        </w:r>
        <w:r w:rsidR="008F02C1">
          <w:rPr>
            <w:webHidden/>
          </w:rPr>
          <w:tab/>
        </w:r>
        <w:r w:rsidR="008F02C1">
          <w:rPr>
            <w:webHidden/>
          </w:rPr>
          <w:fldChar w:fldCharType="begin"/>
        </w:r>
        <w:r w:rsidR="008F02C1">
          <w:rPr>
            <w:webHidden/>
          </w:rPr>
          <w:instrText xml:space="preserve"> PAGEREF _Toc492622946 \h </w:instrText>
        </w:r>
        <w:r w:rsidR="008F02C1">
          <w:rPr>
            <w:webHidden/>
          </w:rPr>
        </w:r>
        <w:r w:rsidR="008F02C1">
          <w:rPr>
            <w:webHidden/>
          </w:rPr>
          <w:fldChar w:fldCharType="separate"/>
        </w:r>
        <w:r>
          <w:rPr>
            <w:webHidden/>
          </w:rPr>
          <w:t>8</w:t>
        </w:r>
        <w:r w:rsidR="008F02C1">
          <w:rPr>
            <w:webHidden/>
          </w:rPr>
          <w:fldChar w:fldCharType="end"/>
        </w:r>
      </w:hyperlink>
    </w:p>
    <w:p w14:paraId="58CD0D33"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7" w:history="1">
        <w:r w:rsidR="008F02C1" w:rsidRPr="00D97A4D">
          <w:rPr>
            <w:rStyle w:val="Hyperlink"/>
          </w:rPr>
          <w:t>Public safety portfolio audit and risk committee</w:t>
        </w:r>
        <w:r w:rsidR="008F02C1">
          <w:rPr>
            <w:webHidden/>
          </w:rPr>
          <w:tab/>
        </w:r>
        <w:r w:rsidR="008F02C1">
          <w:rPr>
            <w:webHidden/>
          </w:rPr>
          <w:fldChar w:fldCharType="begin"/>
        </w:r>
        <w:r w:rsidR="008F02C1">
          <w:rPr>
            <w:webHidden/>
          </w:rPr>
          <w:instrText xml:space="preserve"> PAGEREF _Toc492622947 \h </w:instrText>
        </w:r>
        <w:r w:rsidR="008F02C1">
          <w:rPr>
            <w:webHidden/>
          </w:rPr>
        </w:r>
        <w:r w:rsidR="008F02C1">
          <w:rPr>
            <w:webHidden/>
          </w:rPr>
          <w:fldChar w:fldCharType="separate"/>
        </w:r>
        <w:r>
          <w:rPr>
            <w:webHidden/>
          </w:rPr>
          <w:t>9</w:t>
        </w:r>
        <w:r w:rsidR="008F02C1">
          <w:rPr>
            <w:webHidden/>
          </w:rPr>
          <w:fldChar w:fldCharType="end"/>
        </w:r>
      </w:hyperlink>
    </w:p>
    <w:p w14:paraId="4D80459A"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8" w:history="1">
        <w:r w:rsidR="008F02C1" w:rsidRPr="00D97A4D">
          <w:rPr>
            <w:rStyle w:val="Hyperlink"/>
          </w:rPr>
          <w:t>About us</w:t>
        </w:r>
        <w:r w:rsidR="008F02C1">
          <w:rPr>
            <w:webHidden/>
          </w:rPr>
          <w:tab/>
        </w:r>
        <w:r w:rsidR="008F02C1">
          <w:rPr>
            <w:webHidden/>
          </w:rPr>
          <w:fldChar w:fldCharType="begin"/>
        </w:r>
        <w:r w:rsidR="008F02C1">
          <w:rPr>
            <w:webHidden/>
          </w:rPr>
          <w:instrText xml:space="preserve"> PAGEREF _Toc492622948 \h </w:instrText>
        </w:r>
        <w:r w:rsidR="008F02C1">
          <w:rPr>
            <w:webHidden/>
          </w:rPr>
        </w:r>
        <w:r w:rsidR="008F02C1">
          <w:rPr>
            <w:webHidden/>
          </w:rPr>
          <w:fldChar w:fldCharType="separate"/>
        </w:r>
        <w:r>
          <w:rPr>
            <w:webHidden/>
          </w:rPr>
          <w:t>11</w:t>
        </w:r>
        <w:r w:rsidR="008F02C1">
          <w:rPr>
            <w:webHidden/>
          </w:rPr>
          <w:fldChar w:fldCharType="end"/>
        </w:r>
      </w:hyperlink>
    </w:p>
    <w:p w14:paraId="4CFB0A3F"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49" w:history="1">
        <w:r w:rsidR="008F02C1" w:rsidRPr="00D97A4D">
          <w:rPr>
            <w:rStyle w:val="Hyperlink"/>
          </w:rPr>
          <w:t>Organisational structure</w:t>
        </w:r>
        <w:r w:rsidR="008F02C1">
          <w:rPr>
            <w:webHidden/>
          </w:rPr>
          <w:tab/>
        </w:r>
        <w:r w:rsidR="008F02C1">
          <w:rPr>
            <w:webHidden/>
          </w:rPr>
          <w:fldChar w:fldCharType="begin"/>
        </w:r>
        <w:r w:rsidR="008F02C1">
          <w:rPr>
            <w:webHidden/>
          </w:rPr>
          <w:instrText xml:space="preserve"> PAGEREF _Toc492622949 \h </w:instrText>
        </w:r>
        <w:r w:rsidR="008F02C1">
          <w:rPr>
            <w:webHidden/>
          </w:rPr>
        </w:r>
        <w:r w:rsidR="008F02C1">
          <w:rPr>
            <w:webHidden/>
          </w:rPr>
          <w:fldChar w:fldCharType="separate"/>
        </w:r>
        <w:r>
          <w:rPr>
            <w:webHidden/>
          </w:rPr>
          <w:t>17</w:t>
        </w:r>
        <w:r w:rsidR="008F02C1">
          <w:rPr>
            <w:webHidden/>
          </w:rPr>
          <w:fldChar w:fldCharType="end"/>
        </w:r>
      </w:hyperlink>
    </w:p>
    <w:p w14:paraId="55C502E7"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50" w:history="1">
        <w:r w:rsidR="008F02C1" w:rsidRPr="00D97A4D">
          <w:rPr>
            <w:rStyle w:val="Hyperlink"/>
            <w:noProof/>
          </w:rPr>
          <w:t>Financial summary</w:t>
        </w:r>
        <w:r w:rsidR="008F02C1">
          <w:rPr>
            <w:noProof/>
            <w:webHidden/>
          </w:rPr>
          <w:tab/>
        </w:r>
        <w:r w:rsidR="008F02C1">
          <w:rPr>
            <w:noProof/>
            <w:webHidden/>
          </w:rPr>
          <w:fldChar w:fldCharType="begin"/>
        </w:r>
        <w:r w:rsidR="008F02C1">
          <w:rPr>
            <w:noProof/>
            <w:webHidden/>
          </w:rPr>
          <w:instrText xml:space="preserve"> PAGEREF _Toc492622950 \h </w:instrText>
        </w:r>
        <w:r w:rsidR="008F02C1">
          <w:rPr>
            <w:noProof/>
            <w:webHidden/>
          </w:rPr>
        </w:r>
        <w:r w:rsidR="008F02C1">
          <w:rPr>
            <w:noProof/>
            <w:webHidden/>
          </w:rPr>
          <w:fldChar w:fldCharType="separate"/>
        </w:r>
        <w:r>
          <w:rPr>
            <w:noProof/>
            <w:webHidden/>
          </w:rPr>
          <w:t>18</w:t>
        </w:r>
        <w:r w:rsidR="008F02C1">
          <w:rPr>
            <w:noProof/>
            <w:webHidden/>
          </w:rPr>
          <w:fldChar w:fldCharType="end"/>
        </w:r>
      </w:hyperlink>
    </w:p>
    <w:p w14:paraId="020D46F7"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1" w:history="1">
        <w:r w:rsidR="008F02C1" w:rsidRPr="00D97A4D">
          <w:rPr>
            <w:rStyle w:val="Hyperlink"/>
          </w:rPr>
          <w:t>Summary of financial performance</w:t>
        </w:r>
        <w:r w:rsidR="008F02C1">
          <w:rPr>
            <w:webHidden/>
          </w:rPr>
          <w:tab/>
        </w:r>
        <w:r w:rsidR="008F02C1">
          <w:rPr>
            <w:webHidden/>
          </w:rPr>
          <w:fldChar w:fldCharType="begin"/>
        </w:r>
        <w:r w:rsidR="008F02C1">
          <w:rPr>
            <w:webHidden/>
          </w:rPr>
          <w:instrText xml:space="preserve"> PAGEREF _Toc492622951 \h </w:instrText>
        </w:r>
        <w:r w:rsidR="008F02C1">
          <w:rPr>
            <w:webHidden/>
          </w:rPr>
        </w:r>
        <w:r w:rsidR="008F02C1">
          <w:rPr>
            <w:webHidden/>
          </w:rPr>
          <w:fldChar w:fldCharType="separate"/>
        </w:r>
        <w:r>
          <w:rPr>
            <w:webHidden/>
          </w:rPr>
          <w:t>18</w:t>
        </w:r>
        <w:r w:rsidR="008F02C1">
          <w:rPr>
            <w:webHidden/>
          </w:rPr>
          <w:fldChar w:fldCharType="end"/>
        </w:r>
      </w:hyperlink>
    </w:p>
    <w:p w14:paraId="52682C8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2" w:history="1">
        <w:r w:rsidR="008F02C1" w:rsidRPr="00D97A4D">
          <w:rPr>
            <w:rStyle w:val="Hyperlink"/>
          </w:rPr>
          <w:t>Summary of financial position</w:t>
        </w:r>
        <w:r w:rsidR="008F02C1">
          <w:rPr>
            <w:webHidden/>
          </w:rPr>
          <w:tab/>
        </w:r>
        <w:r w:rsidR="008F02C1">
          <w:rPr>
            <w:webHidden/>
          </w:rPr>
          <w:fldChar w:fldCharType="begin"/>
        </w:r>
        <w:r w:rsidR="008F02C1">
          <w:rPr>
            <w:webHidden/>
          </w:rPr>
          <w:instrText xml:space="preserve"> PAGEREF _Toc492622952 \h </w:instrText>
        </w:r>
        <w:r w:rsidR="008F02C1">
          <w:rPr>
            <w:webHidden/>
          </w:rPr>
        </w:r>
        <w:r w:rsidR="008F02C1">
          <w:rPr>
            <w:webHidden/>
          </w:rPr>
          <w:fldChar w:fldCharType="separate"/>
        </w:r>
        <w:r>
          <w:rPr>
            <w:webHidden/>
          </w:rPr>
          <w:t>19</w:t>
        </w:r>
        <w:r w:rsidR="008F02C1">
          <w:rPr>
            <w:webHidden/>
          </w:rPr>
          <w:fldChar w:fldCharType="end"/>
        </w:r>
      </w:hyperlink>
    </w:p>
    <w:p w14:paraId="0181E742"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53" w:history="1">
        <w:r w:rsidR="008F02C1" w:rsidRPr="00D97A4D">
          <w:rPr>
            <w:rStyle w:val="Hyperlink"/>
            <w:noProof/>
          </w:rPr>
          <w:t>Performance</w:t>
        </w:r>
        <w:r w:rsidR="008F02C1">
          <w:rPr>
            <w:noProof/>
            <w:webHidden/>
          </w:rPr>
          <w:tab/>
        </w:r>
        <w:r w:rsidR="008F02C1">
          <w:rPr>
            <w:noProof/>
            <w:webHidden/>
          </w:rPr>
          <w:fldChar w:fldCharType="begin"/>
        </w:r>
        <w:r w:rsidR="008F02C1">
          <w:rPr>
            <w:noProof/>
            <w:webHidden/>
          </w:rPr>
          <w:instrText xml:space="preserve"> PAGEREF _Toc492622953 \h </w:instrText>
        </w:r>
        <w:r w:rsidR="008F02C1">
          <w:rPr>
            <w:noProof/>
            <w:webHidden/>
          </w:rPr>
        </w:r>
        <w:r w:rsidR="008F02C1">
          <w:rPr>
            <w:noProof/>
            <w:webHidden/>
          </w:rPr>
          <w:fldChar w:fldCharType="separate"/>
        </w:r>
        <w:r>
          <w:rPr>
            <w:noProof/>
            <w:webHidden/>
          </w:rPr>
          <w:t>20</w:t>
        </w:r>
        <w:r w:rsidR="008F02C1">
          <w:rPr>
            <w:noProof/>
            <w:webHidden/>
          </w:rPr>
          <w:fldChar w:fldCharType="end"/>
        </w:r>
      </w:hyperlink>
    </w:p>
    <w:p w14:paraId="6F9184C6"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4" w:history="1">
        <w:r w:rsidR="008F02C1" w:rsidRPr="00D97A4D">
          <w:rPr>
            <w:rStyle w:val="Hyperlink"/>
          </w:rPr>
          <w:t>Key performance measures</w:t>
        </w:r>
        <w:r w:rsidR="008F02C1">
          <w:rPr>
            <w:webHidden/>
          </w:rPr>
          <w:tab/>
        </w:r>
        <w:r w:rsidR="008F02C1">
          <w:rPr>
            <w:webHidden/>
          </w:rPr>
          <w:fldChar w:fldCharType="begin"/>
        </w:r>
        <w:r w:rsidR="008F02C1">
          <w:rPr>
            <w:webHidden/>
          </w:rPr>
          <w:instrText xml:space="preserve"> PAGEREF _Toc492622954 \h </w:instrText>
        </w:r>
        <w:r w:rsidR="008F02C1">
          <w:rPr>
            <w:webHidden/>
          </w:rPr>
        </w:r>
        <w:r w:rsidR="008F02C1">
          <w:rPr>
            <w:webHidden/>
          </w:rPr>
          <w:fldChar w:fldCharType="separate"/>
        </w:r>
        <w:r>
          <w:rPr>
            <w:webHidden/>
          </w:rPr>
          <w:t>20</w:t>
        </w:r>
        <w:r w:rsidR="008F02C1">
          <w:rPr>
            <w:webHidden/>
          </w:rPr>
          <w:fldChar w:fldCharType="end"/>
        </w:r>
      </w:hyperlink>
    </w:p>
    <w:p w14:paraId="3C9F89CE"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5" w:history="1">
        <w:r w:rsidR="008F02C1" w:rsidRPr="00D97A4D">
          <w:rPr>
            <w:rStyle w:val="Hyperlink"/>
          </w:rPr>
          <w:t>2016-17 Highlights</w:t>
        </w:r>
        <w:r w:rsidR="008F02C1">
          <w:rPr>
            <w:webHidden/>
          </w:rPr>
          <w:tab/>
        </w:r>
        <w:r w:rsidR="008F02C1">
          <w:rPr>
            <w:webHidden/>
          </w:rPr>
          <w:fldChar w:fldCharType="begin"/>
        </w:r>
        <w:r w:rsidR="008F02C1">
          <w:rPr>
            <w:webHidden/>
          </w:rPr>
          <w:instrText xml:space="preserve"> PAGEREF _Toc492622955 \h </w:instrText>
        </w:r>
        <w:r w:rsidR="008F02C1">
          <w:rPr>
            <w:webHidden/>
          </w:rPr>
        </w:r>
        <w:r w:rsidR="008F02C1">
          <w:rPr>
            <w:webHidden/>
          </w:rPr>
          <w:fldChar w:fldCharType="separate"/>
        </w:r>
        <w:r>
          <w:rPr>
            <w:webHidden/>
          </w:rPr>
          <w:t>21</w:t>
        </w:r>
        <w:r w:rsidR="008F02C1">
          <w:rPr>
            <w:webHidden/>
          </w:rPr>
          <w:fldChar w:fldCharType="end"/>
        </w:r>
      </w:hyperlink>
    </w:p>
    <w:p w14:paraId="4F767C2D"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56" w:history="1">
        <w:r w:rsidR="008F02C1" w:rsidRPr="00D97A4D">
          <w:rPr>
            <w:rStyle w:val="Hyperlink"/>
            <w:noProof/>
          </w:rPr>
          <w:t>Governance</w:t>
        </w:r>
        <w:r w:rsidR="008F02C1">
          <w:rPr>
            <w:noProof/>
            <w:webHidden/>
          </w:rPr>
          <w:tab/>
        </w:r>
        <w:r w:rsidR="008F02C1">
          <w:rPr>
            <w:noProof/>
            <w:webHidden/>
          </w:rPr>
          <w:fldChar w:fldCharType="begin"/>
        </w:r>
        <w:r w:rsidR="008F02C1">
          <w:rPr>
            <w:noProof/>
            <w:webHidden/>
          </w:rPr>
          <w:instrText xml:space="preserve"> PAGEREF _Toc492622956 \h </w:instrText>
        </w:r>
        <w:r w:rsidR="008F02C1">
          <w:rPr>
            <w:noProof/>
            <w:webHidden/>
          </w:rPr>
        </w:r>
        <w:r w:rsidR="008F02C1">
          <w:rPr>
            <w:noProof/>
            <w:webHidden/>
          </w:rPr>
          <w:fldChar w:fldCharType="separate"/>
        </w:r>
        <w:r>
          <w:rPr>
            <w:noProof/>
            <w:webHidden/>
          </w:rPr>
          <w:t>30</w:t>
        </w:r>
        <w:r w:rsidR="008F02C1">
          <w:rPr>
            <w:noProof/>
            <w:webHidden/>
          </w:rPr>
          <w:fldChar w:fldCharType="end"/>
        </w:r>
      </w:hyperlink>
    </w:p>
    <w:p w14:paraId="0F86AA1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7" w:history="1">
        <w:r w:rsidR="008F02C1" w:rsidRPr="00D97A4D">
          <w:rPr>
            <w:rStyle w:val="Hyperlink"/>
          </w:rPr>
          <w:t>Executive management</w:t>
        </w:r>
        <w:r w:rsidR="008F02C1">
          <w:rPr>
            <w:webHidden/>
          </w:rPr>
          <w:tab/>
        </w:r>
        <w:r w:rsidR="008F02C1">
          <w:rPr>
            <w:webHidden/>
          </w:rPr>
          <w:fldChar w:fldCharType="begin"/>
        </w:r>
        <w:r w:rsidR="008F02C1">
          <w:rPr>
            <w:webHidden/>
          </w:rPr>
          <w:instrText xml:space="preserve"> PAGEREF _Toc492622957 \h </w:instrText>
        </w:r>
        <w:r w:rsidR="008F02C1">
          <w:rPr>
            <w:webHidden/>
          </w:rPr>
        </w:r>
        <w:r w:rsidR="008F02C1">
          <w:rPr>
            <w:webHidden/>
          </w:rPr>
          <w:fldChar w:fldCharType="separate"/>
        </w:r>
        <w:r>
          <w:rPr>
            <w:webHidden/>
          </w:rPr>
          <w:t>30</w:t>
        </w:r>
        <w:r w:rsidR="008F02C1">
          <w:rPr>
            <w:webHidden/>
          </w:rPr>
          <w:fldChar w:fldCharType="end"/>
        </w:r>
      </w:hyperlink>
    </w:p>
    <w:p w14:paraId="3C38ACE5"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8" w:history="1">
        <w:r w:rsidR="008F02C1" w:rsidRPr="00D97A4D">
          <w:rPr>
            <w:rStyle w:val="Hyperlink"/>
          </w:rPr>
          <w:t>Committees</w:t>
        </w:r>
        <w:r w:rsidR="008F02C1">
          <w:rPr>
            <w:webHidden/>
          </w:rPr>
          <w:tab/>
        </w:r>
        <w:r w:rsidR="008F02C1">
          <w:rPr>
            <w:webHidden/>
          </w:rPr>
          <w:fldChar w:fldCharType="begin"/>
        </w:r>
        <w:r w:rsidR="008F02C1">
          <w:rPr>
            <w:webHidden/>
          </w:rPr>
          <w:instrText xml:space="preserve"> PAGEREF _Toc492622958 \h </w:instrText>
        </w:r>
        <w:r w:rsidR="008F02C1">
          <w:rPr>
            <w:webHidden/>
          </w:rPr>
        </w:r>
        <w:r w:rsidR="008F02C1">
          <w:rPr>
            <w:webHidden/>
          </w:rPr>
          <w:fldChar w:fldCharType="separate"/>
        </w:r>
        <w:r>
          <w:rPr>
            <w:webHidden/>
          </w:rPr>
          <w:t>32</w:t>
        </w:r>
        <w:r w:rsidR="008F02C1">
          <w:rPr>
            <w:webHidden/>
          </w:rPr>
          <w:fldChar w:fldCharType="end"/>
        </w:r>
      </w:hyperlink>
    </w:p>
    <w:p w14:paraId="654D93E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59" w:history="1">
        <w:r w:rsidR="008F02C1" w:rsidRPr="00D97A4D">
          <w:rPr>
            <w:rStyle w:val="Hyperlink"/>
          </w:rPr>
          <w:t>Ethics and code of conduct</w:t>
        </w:r>
        <w:r w:rsidR="008F02C1">
          <w:rPr>
            <w:webHidden/>
          </w:rPr>
          <w:tab/>
        </w:r>
        <w:r w:rsidR="008F02C1">
          <w:rPr>
            <w:webHidden/>
          </w:rPr>
          <w:fldChar w:fldCharType="begin"/>
        </w:r>
        <w:r w:rsidR="008F02C1">
          <w:rPr>
            <w:webHidden/>
          </w:rPr>
          <w:instrText xml:space="preserve"> PAGEREF _Toc492622959 \h </w:instrText>
        </w:r>
        <w:r w:rsidR="008F02C1">
          <w:rPr>
            <w:webHidden/>
          </w:rPr>
        </w:r>
        <w:r w:rsidR="008F02C1">
          <w:rPr>
            <w:webHidden/>
          </w:rPr>
          <w:fldChar w:fldCharType="separate"/>
        </w:r>
        <w:r>
          <w:rPr>
            <w:webHidden/>
          </w:rPr>
          <w:t>34</w:t>
        </w:r>
        <w:r w:rsidR="008F02C1">
          <w:rPr>
            <w:webHidden/>
          </w:rPr>
          <w:fldChar w:fldCharType="end"/>
        </w:r>
      </w:hyperlink>
    </w:p>
    <w:p w14:paraId="6C30B08E"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0" w:history="1">
        <w:r w:rsidR="008F02C1" w:rsidRPr="00D97A4D">
          <w:rPr>
            <w:rStyle w:val="Hyperlink"/>
          </w:rPr>
          <w:t>Risk management and accountability</w:t>
        </w:r>
        <w:r w:rsidR="008F02C1">
          <w:rPr>
            <w:webHidden/>
          </w:rPr>
          <w:tab/>
        </w:r>
        <w:r w:rsidR="008F02C1">
          <w:rPr>
            <w:webHidden/>
          </w:rPr>
          <w:fldChar w:fldCharType="begin"/>
        </w:r>
        <w:r w:rsidR="008F02C1">
          <w:rPr>
            <w:webHidden/>
          </w:rPr>
          <w:instrText xml:space="preserve"> PAGEREF _Toc492622960 \h </w:instrText>
        </w:r>
        <w:r w:rsidR="008F02C1">
          <w:rPr>
            <w:webHidden/>
          </w:rPr>
        </w:r>
        <w:r w:rsidR="008F02C1">
          <w:rPr>
            <w:webHidden/>
          </w:rPr>
          <w:fldChar w:fldCharType="separate"/>
        </w:r>
        <w:r>
          <w:rPr>
            <w:webHidden/>
          </w:rPr>
          <w:t>35</w:t>
        </w:r>
        <w:r w:rsidR="008F02C1">
          <w:rPr>
            <w:webHidden/>
          </w:rPr>
          <w:fldChar w:fldCharType="end"/>
        </w:r>
      </w:hyperlink>
    </w:p>
    <w:p w14:paraId="22F2200A"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1" w:history="1">
        <w:r w:rsidR="008F02C1" w:rsidRPr="00D97A4D">
          <w:rPr>
            <w:rStyle w:val="Hyperlink"/>
          </w:rPr>
          <w:t>Human resources</w:t>
        </w:r>
        <w:r w:rsidR="008F02C1">
          <w:rPr>
            <w:webHidden/>
          </w:rPr>
          <w:tab/>
        </w:r>
        <w:r w:rsidR="008F02C1">
          <w:rPr>
            <w:webHidden/>
          </w:rPr>
          <w:fldChar w:fldCharType="begin"/>
        </w:r>
        <w:r w:rsidR="008F02C1">
          <w:rPr>
            <w:webHidden/>
          </w:rPr>
          <w:instrText xml:space="preserve"> PAGEREF _Toc492622961 \h </w:instrText>
        </w:r>
        <w:r w:rsidR="008F02C1">
          <w:rPr>
            <w:webHidden/>
          </w:rPr>
        </w:r>
        <w:r w:rsidR="008F02C1">
          <w:rPr>
            <w:webHidden/>
          </w:rPr>
          <w:fldChar w:fldCharType="separate"/>
        </w:r>
        <w:r>
          <w:rPr>
            <w:webHidden/>
          </w:rPr>
          <w:t>38</w:t>
        </w:r>
        <w:r w:rsidR="008F02C1">
          <w:rPr>
            <w:webHidden/>
          </w:rPr>
          <w:fldChar w:fldCharType="end"/>
        </w:r>
      </w:hyperlink>
    </w:p>
    <w:p w14:paraId="3DC3DB34"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62" w:history="1">
        <w:r w:rsidR="008F02C1" w:rsidRPr="00D97A4D">
          <w:rPr>
            <w:rStyle w:val="Hyperlink"/>
            <w:noProof/>
          </w:rPr>
          <w:t>Financial statements - Table of contents</w:t>
        </w:r>
        <w:r w:rsidR="008F02C1">
          <w:rPr>
            <w:noProof/>
            <w:webHidden/>
          </w:rPr>
          <w:tab/>
        </w:r>
        <w:r w:rsidR="008F02C1">
          <w:rPr>
            <w:noProof/>
            <w:webHidden/>
          </w:rPr>
          <w:fldChar w:fldCharType="begin"/>
        </w:r>
        <w:r w:rsidR="008F02C1">
          <w:rPr>
            <w:noProof/>
            <w:webHidden/>
          </w:rPr>
          <w:instrText xml:space="preserve"> PAGEREF _Toc492622962 \h </w:instrText>
        </w:r>
        <w:r w:rsidR="008F02C1">
          <w:rPr>
            <w:noProof/>
            <w:webHidden/>
          </w:rPr>
        </w:r>
        <w:r w:rsidR="008F02C1">
          <w:rPr>
            <w:noProof/>
            <w:webHidden/>
          </w:rPr>
          <w:fldChar w:fldCharType="separate"/>
        </w:r>
        <w:r>
          <w:rPr>
            <w:noProof/>
            <w:webHidden/>
          </w:rPr>
          <w:t>41</w:t>
        </w:r>
        <w:r w:rsidR="008F02C1">
          <w:rPr>
            <w:noProof/>
            <w:webHidden/>
          </w:rPr>
          <w:fldChar w:fldCharType="end"/>
        </w:r>
      </w:hyperlink>
    </w:p>
    <w:p w14:paraId="1DBD1CE1"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3" w:history="1">
        <w:r w:rsidR="008F02C1" w:rsidRPr="00D97A4D">
          <w:rPr>
            <w:rStyle w:val="Hyperlink"/>
          </w:rPr>
          <w:t>Statement of comprehensive income</w:t>
        </w:r>
        <w:r w:rsidR="008F02C1">
          <w:rPr>
            <w:webHidden/>
          </w:rPr>
          <w:tab/>
        </w:r>
        <w:r w:rsidR="008F02C1">
          <w:rPr>
            <w:webHidden/>
          </w:rPr>
          <w:fldChar w:fldCharType="begin"/>
        </w:r>
        <w:r w:rsidR="008F02C1">
          <w:rPr>
            <w:webHidden/>
          </w:rPr>
          <w:instrText xml:space="preserve"> PAGEREF _Toc492622963 \h </w:instrText>
        </w:r>
        <w:r w:rsidR="008F02C1">
          <w:rPr>
            <w:webHidden/>
          </w:rPr>
        </w:r>
        <w:r w:rsidR="008F02C1">
          <w:rPr>
            <w:webHidden/>
          </w:rPr>
          <w:fldChar w:fldCharType="separate"/>
        </w:r>
        <w:r>
          <w:rPr>
            <w:webHidden/>
          </w:rPr>
          <w:t>42</w:t>
        </w:r>
        <w:r w:rsidR="008F02C1">
          <w:rPr>
            <w:webHidden/>
          </w:rPr>
          <w:fldChar w:fldCharType="end"/>
        </w:r>
      </w:hyperlink>
    </w:p>
    <w:p w14:paraId="7B09A60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4" w:history="1">
        <w:r w:rsidR="008F02C1" w:rsidRPr="00D97A4D">
          <w:rPr>
            <w:rStyle w:val="Hyperlink"/>
          </w:rPr>
          <w:t>Statement of financial position</w:t>
        </w:r>
        <w:r w:rsidR="008F02C1">
          <w:rPr>
            <w:webHidden/>
          </w:rPr>
          <w:tab/>
        </w:r>
        <w:r w:rsidR="008F02C1">
          <w:rPr>
            <w:webHidden/>
          </w:rPr>
          <w:fldChar w:fldCharType="begin"/>
        </w:r>
        <w:r w:rsidR="008F02C1">
          <w:rPr>
            <w:webHidden/>
          </w:rPr>
          <w:instrText xml:space="preserve"> PAGEREF _Toc492622964 \h </w:instrText>
        </w:r>
        <w:r w:rsidR="008F02C1">
          <w:rPr>
            <w:webHidden/>
          </w:rPr>
        </w:r>
        <w:r w:rsidR="008F02C1">
          <w:rPr>
            <w:webHidden/>
          </w:rPr>
          <w:fldChar w:fldCharType="separate"/>
        </w:r>
        <w:r>
          <w:rPr>
            <w:webHidden/>
          </w:rPr>
          <w:t>43</w:t>
        </w:r>
        <w:r w:rsidR="008F02C1">
          <w:rPr>
            <w:webHidden/>
          </w:rPr>
          <w:fldChar w:fldCharType="end"/>
        </w:r>
      </w:hyperlink>
    </w:p>
    <w:p w14:paraId="3C34110C"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5" w:history="1">
        <w:r w:rsidR="008F02C1" w:rsidRPr="00D97A4D">
          <w:rPr>
            <w:rStyle w:val="Hyperlink"/>
          </w:rPr>
          <w:t>Statement of changes in equity</w:t>
        </w:r>
        <w:r w:rsidR="008F02C1">
          <w:rPr>
            <w:webHidden/>
          </w:rPr>
          <w:tab/>
        </w:r>
        <w:r w:rsidR="008F02C1">
          <w:rPr>
            <w:webHidden/>
          </w:rPr>
          <w:fldChar w:fldCharType="begin"/>
        </w:r>
        <w:r w:rsidR="008F02C1">
          <w:rPr>
            <w:webHidden/>
          </w:rPr>
          <w:instrText xml:space="preserve"> PAGEREF _Toc492622965 \h </w:instrText>
        </w:r>
        <w:r w:rsidR="008F02C1">
          <w:rPr>
            <w:webHidden/>
          </w:rPr>
        </w:r>
        <w:r w:rsidR="008F02C1">
          <w:rPr>
            <w:webHidden/>
          </w:rPr>
          <w:fldChar w:fldCharType="separate"/>
        </w:r>
        <w:r>
          <w:rPr>
            <w:webHidden/>
          </w:rPr>
          <w:t>44</w:t>
        </w:r>
        <w:r w:rsidR="008F02C1">
          <w:rPr>
            <w:webHidden/>
          </w:rPr>
          <w:fldChar w:fldCharType="end"/>
        </w:r>
      </w:hyperlink>
    </w:p>
    <w:p w14:paraId="347EC869"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6" w:history="1">
        <w:r w:rsidR="008F02C1" w:rsidRPr="00D97A4D">
          <w:rPr>
            <w:rStyle w:val="Hyperlink"/>
          </w:rPr>
          <w:t>Statement of cash flows</w:t>
        </w:r>
        <w:r w:rsidR="008F02C1">
          <w:rPr>
            <w:webHidden/>
          </w:rPr>
          <w:tab/>
        </w:r>
        <w:r w:rsidR="008F02C1">
          <w:rPr>
            <w:webHidden/>
          </w:rPr>
          <w:fldChar w:fldCharType="begin"/>
        </w:r>
        <w:r w:rsidR="008F02C1">
          <w:rPr>
            <w:webHidden/>
          </w:rPr>
          <w:instrText xml:space="preserve"> PAGEREF _Toc492622966 \h </w:instrText>
        </w:r>
        <w:r w:rsidR="008F02C1">
          <w:rPr>
            <w:webHidden/>
          </w:rPr>
        </w:r>
        <w:r w:rsidR="008F02C1">
          <w:rPr>
            <w:webHidden/>
          </w:rPr>
          <w:fldChar w:fldCharType="separate"/>
        </w:r>
        <w:r>
          <w:rPr>
            <w:webHidden/>
          </w:rPr>
          <w:t>45</w:t>
        </w:r>
        <w:r w:rsidR="008F02C1">
          <w:rPr>
            <w:webHidden/>
          </w:rPr>
          <w:fldChar w:fldCharType="end"/>
        </w:r>
      </w:hyperlink>
    </w:p>
    <w:p w14:paraId="39C676A9" w14:textId="25803269"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7" w:history="1">
        <w:r w:rsidR="008F02C1" w:rsidRPr="00D97A4D">
          <w:rPr>
            <w:rStyle w:val="Hyperlink"/>
          </w:rPr>
          <w:t>Notes to and forming part of the financial statements</w:t>
        </w:r>
        <w:r w:rsidR="001E7E42">
          <w:rPr>
            <w:rStyle w:val="Hyperlink"/>
          </w:rPr>
          <w:t xml:space="preserve"> </w:t>
        </w:r>
      </w:hyperlink>
      <w:hyperlink w:anchor="_Toc492622968" w:history="1">
        <w:r w:rsidR="008F02C1" w:rsidRPr="00D97A4D">
          <w:rPr>
            <w:rStyle w:val="Hyperlink"/>
          </w:rPr>
          <w:t>2016-17</w:t>
        </w:r>
        <w:r w:rsidR="008F02C1">
          <w:rPr>
            <w:webHidden/>
          </w:rPr>
          <w:tab/>
        </w:r>
        <w:r w:rsidR="008F02C1">
          <w:rPr>
            <w:webHidden/>
          </w:rPr>
          <w:fldChar w:fldCharType="begin"/>
        </w:r>
        <w:r w:rsidR="008F02C1">
          <w:rPr>
            <w:webHidden/>
          </w:rPr>
          <w:instrText xml:space="preserve"> PAGEREF _Toc492622968 \h </w:instrText>
        </w:r>
        <w:r w:rsidR="008F02C1">
          <w:rPr>
            <w:webHidden/>
          </w:rPr>
        </w:r>
        <w:r w:rsidR="008F02C1">
          <w:rPr>
            <w:webHidden/>
          </w:rPr>
          <w:fldChar w:fldCharType="separate"/>
        </w:r>
        <w:r>
          <w:rPr>
            <w:webHidden/>
          </w:rPr>
          <w:t>46</w:t>
        </w:r>
        <w:r w:rsidR="008F02C1">
          <w:rPr>
            <w:webHidden/>
          </w:rPr>
          <w:fldChar w:fldCharType="end"/>
        </w:r>
      </w:hyperlink>
    </w:p>
    <w:p w14:paraId="0DC3167A"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69" w:history="1">
        <w:r w:rsidR="008F02C1" w:rsidRPr="00D97A4D">
          <w:rPr>
            <w:rStyle w:val="Hyperlink"/>
          </w:rPr>
          <w:t>Management Certificate for the year ended 30 June 2017</w:t>
        </w:r>
        <w:r w:rsidR="008F02C1">
          <w:rPr>
            <w:webHidden/>
          </w:rPr>
          <w:tab/>
        </w:r>
        <w:r w:rsidR="008F02C1">
          <w:rPr>
            <w:webHidden/>
          </w:rPr>
          <w:fldChar w:fldCharType="begin"/>
        </w:r>
        <w:r w:rsidR="008F02C1">
          <w:rPr>
            <w:webHidden/>
          </w:rPr>
          <w:instrText xml:space="preserve"> PAGEREF _Toc492622969 \h </w:instrText>
        </w:r>
        <w:r w:rsidR="008F02C1">
          <w:rPr>
            <w:webHidden/>
          </w:rPr>
        </w:r>
        <w:r w:rsidR="008F02C1">
          <w:rPr>
            <w:webHidden/>
          </w:rPr>
          <w:fldChar w:fldCharType="separate"/>
        </w:r>
        <w:r>
          <w:rPr>
            <w:webHidden/>
          </w:rPr>
          <w:t>56</w:t>
        </w:r>
        <w:r w:rsidR="008F02C1">
          <w:rPr>
            <w:webHidden/>
          </w:rPr>
          <w:fldChar w:fldCharType="end"/>
        </w:r>
      </w:hyperlink>
    </w:p>
    <w:p w14:paraId="1041FB13"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70" w:history="1">
        <w:r w:rsidR="008F02C1" w:rsidRPr="00D97A4D">
          <w:rPr>
            <w:rStyle w:val="Hyperlink"/>
          </w:rPr>
          <w:t>Independent Auditor’s Report</w:t>
        </w:r>
        <w:r w:rsidR="008F02C1">
          <w:rPr>
            <w:webHidden/>
          </w:rPr>
          <w:tab/>
        </w:r>
        <w:r w:rsidR="008F02C1">
          <w:rPr>
            <w:webHidden/>
          </w:rPr>
          <w:fldChar w:fldCharType="begin"/>
        </w:r>
        <w:r w:rsidR="008F02C1">
          <w:rPr>
            <w:webHidden/>
          </w:rPr>
          <w:instrText xml:space="preserve"> PAGEREF _Toc492622970 \h </w:instrText>
        </w:r>
        <w:r w:rsidR="008F02C1">
          <w:rPr>
            <w:webHidden/>
          </w:rPr>
        </w:r>
        <w:r w:rsidR="008F02C1">
          <w:rPr>
            <w:webHidden/>
          </w:rPr>
          <w:fldChar w:fldCharType="separate"/>
        </w:r>
        <w:r>
          <w:rPr>
            <w:webHidden/>
          </w:rPr>
          <w:t>57</w:t>
        </w:r>
        <w:r w:rsidR="008F02C1">
          <w:rPr>
            <w:webHidden/>
          </w:rPr>
          <w:fldChar w:fldCharType="end"/>
        </w:r>
      </w:hyperlink>
    </w:p>
    <w:p w14:paraId="4E49B695" w14:textId="77777777" w:rsidR="008F02C1" w:rsidRDefault="006F2417" w:rsidP="008F02C1">
      <w:pPr>
        <w:pStyle w:val="TOC1"/>
        <w:ind w:left="-142"/>
        <w:rPr>
          <w:rFonts w:asciiTheme="minorHAnsi" w:eastAsiaTheme="minorEastAsia" w:hAnsiTheme="minorHAnsi" w:cstheme="minorBidi"/>
          <w:b w:val="0"/>
          <w:bCs w:val="0"/>
          <w:noProof/>
          <w:kern w:val="0"/>
          <w:sz w:val="22"/>
          <w:szCs w:val="22"/>
          <w:lang w:val="en-AU" w:eastAsia="en-AU"/>
        </w:rPr>
      </w:pPr>
      <w:hyperlink w:anchor="_Toc492622971" w:history="1">
        <w:r w:rsidR="008F02C1" w:rsidRPr="00D97A4D">
          <w:rPr>
            <w:rStyle w:val="Hyperlink"/>
            <w:noProof/>
          </w:rPr>
          <w:t>Appendices</w:t>
        </w:r>
        <w:r w:rsidR="008F02C1">
          <w:rPr>
            <w:noProof/>
            <w:webHidden/>
          </w:rPr>
          <w:tab/>
        </w:r>
        <w:r w:rsidR="008F02C1">
          <w:rPr>
            <w:noProof/>
            <w:webHidden/>
          </w:rPr>
          <w:fldChar w:fldCharType="begin"/>
        </w:r>
        <w:r w:rsidR="008F02C1">
          <w:rPr>
            <w:noProof/>
            <w:webHidden/>
          </w:rPr>
          <w:instrText xml:space="preserve"> PAGEREF _Toc492622971 \h </w:instrText>
        </w:r>
        <w:r w:rsidR="008F02C1">
          <w:rPr>
            <w:noProof/>
            <w:webHidden/>
          </w:rPr>
        </w:r>
        <w:r w:rsidR="008F02C1">
          <w:rPr>
            <w:noProof/>
            <w:webHidden/>
          </w:rPr>
          <w:fldChar w:fldCharType="separate"/>
        </w:r>
        <w:r>
          <w:rPr>
            <w:noProof/>
            <w:webHidden/>
          </w:rPr>
          <w:t>59</w:t>
        </w:r>
        <w:r w:rsidR="008F02C1">
          <w:rPr>
            <w:noProof/>
            <w:webHidden/>
          </w:rPr>
          <w:fldChar w:fldCharType="end"/>
        </w:r>
      </w:hyperlink>
    </w:p>
    <w:p w14:paraId="7CEE522F"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72" w:history="1">
        <w:r w:rsidR="008F02C1" w:rsidRPr="00D97A4D">
          <w:rPr>
            <w:rStyle w:val="Hyperlink"/>
          </w:rPr>
          <w:t>Acronyms</w:t>
        </w:r>
        <w:r w:rsidR="008F02C1">
          <w:rPr>
            <w:webHidden/>
          </w:rPr>
          <w:tab/>
        </w:r>
        <w:r w:rsidR="008F02C1">
          <w:rPr>
            <w:webHidden/>
          </w:rPr>
          <w:fldChar w:fldCharType="begin"/>
        </w:r>
        <w:r w:rsidR="008F02C1">
          <w:rPr>
            <w:webHidden/>
          </w:rPr>
          <w:instrText xml:space="preserve"> PAGEREF _Toc492622972 \h </w:instrText>
        </w:r>
        <w:r w:rsidR="008F02C1">
          <w:rPr>
            <w:webHidden/>
          </w:rPr>
        </w:r>
        <w:r w:rsidR="008F02C1">
          <w:rPr>
            <w:webHidden/>
          </w:rPr>
          <w:fldChar w:fldCharType="separate"/>
        </w:r>
        <w:r>
          <w:rPr>
            <w:webHidden/>
          </w:rPr>
          <w:t>59</w:t>
        </w:r>
        <w:r w:rsidR="008F02C1">
          <w:rPr>
            <w:webHidden/>
          </w:rPr>
          <w:fldChar w:fldCharType="end"/>
        </w:r>
      </w:hyperlink>
    </w:p>
    <w:p w14:paraId="5DD3D008"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73" w:history="1">
        <w:r w:rsidR="008F02C1" w:rsidRPr="00D97A4D">
          <w:rPr>
            <w:rStyle w:val="Hyperlink"/>
          </w:rPr>
          <w:t>Glossary</w:t>
        </w:r>
        <w:r w:rsidR="008F02C1">
          <w:rPr>
            <w:webHidden/>
          </w:rPr>
          <w:tab/>
        </w:r>
        <w:r w:rsidR="008F02C1">
          <w:rPr>
            <w:webHidden/>
          </w:rPr>
          <w:fldChar w:fldCharType="begin"/>
        </w:r>
        <w:r w:rsidR="008F02C1">
          <w:rPr>
            <w:webHidden/>
          </w:rPr>
          <w:instrText xml:space="preserve"> PAGEREF _Toc492622973 \h </w:instrText>
        </w:r>
        <w:r w:rsidR="008F02C1">
          <w:rPr>
            <w:webHidden/>
          </w:rPr>
        </w:r>
        <w:r w:rsidR="008F02C1">
          <w:rPr>
            <w:webHidden/>
          </w:rPr>
          <w:fldChar w:fldCharType="separate"/>
        </w:r>
        <w:r>
          <w:rPr>
            <w:webHidden/>
          </w:rPr>
          <w:t>60</w:t>
        </w:r>
        <w:r w:rsidR="008F02C1">
          <w:rPr>
            <w:webHidden/>
          </w:rPr>
          <w:fldChar w:fldCharType="end"/>
        </w:r>
      </w:hyperlink>
    </w:p>
    <w:p w14:paraId="21E09F98"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74" w:history="1">
        <w:r w:rsidR="008F02C1" w:rsidRPr="00D97A4D">
          <w:rPr>
            <w:rStyle w:val="Hyperlink"/>
          </w:rPr>
          <w:t>Compliance checklist</w:t>
        </w:r>
        <w:r w:rsidR="008F02C1">
          <w:rPr>
            <w:webHidden/>
          </w:rPr>
          <w:tab/>
        </w:r>
        <w:r w:rsidR="008F02C1">
          <w:rPr>
            <w:webHidden/>
          </w:rPr>
          <w:fldChar w:fldCharType="begin"/>
        </w:r>
        <w:r w:rsidR="008F02C1">
          <w:rPr>
            <w:webHidden/>
          </w:rPr>
          <w:instrText xml:space="preserve"> PAGEREF _Toc492622974 \h </w:instrText>
        </w:r>
        <w:r w:rsidR="008F02C1">
          <w:rPr>
            <w:webHidden/>
          </w:rPr>
        </w:r>
        <w:r w:rsidR="008F02C1">
          <w:rPr>
            <w:webHidden/>
          </w:rPr>
          <w:fldChar w:fldCharType="separate"/>
        </w:r>
        <w:r>
          <w:rPr>
            <w:webHidden/>
          </w:rPr>
          <w:t>61</w:t>
        </w:r>
        <w:r w:rsidR="008F02C1">
          <w:rPr>
            <w:webHidden/>
          </w:rPr>
          <w:fldChar w:fldCharType="end"/>
        </w:r>
      </w:hyperlink>
    </w:p>
    <w:p w14:paraId="41575825" w14:textId="77777777" w:rsidR="008F02C1" w:rsidRDefault="006F2417" w:rsidP="008F02C1">
      <w:pPr>
        <w:pStyle w:val="TOC2"/>
        <w:ind w:left="-142"/>
        <w:rPr>
          <w:rFonts w:asciiTheme="minorHAnsi" w:eastAsiaTheme="minorEastAsia" w:hAnsiTheme="minorHAnsi" w:cstheme="minorBidi"/>
          <w:kern w:val="0"/>
          <w:szCs w:val="22"/>
          <w:lang w:val="en-AU" w:eastAsia="en-AU"/>
        </w:rPr>
      </w:pPr>
      <w:hyperlink w:anchor="_Toc492622975" w:history="1">
        <w:r w:rsidR="008F02C1" w:rsidRPr="00D97A4D">
          <w:rPr>
            <w:rStyle w:val="Hyperlink"/>
          </w:rPr>
          <w:t>Contacts and key locations</w:t>
        </w:r>
        <w:r w:rsidR="008F02C1">
          <w:rPr>
            <w:webHidden/>
          </w:rPr>
          <w:tab/>
        </w:r>
        <w:r w:rsidR="008F02C1">
          <w:rPr>
            <w:webHidden/>
          </w:rPr>
          <w:fldChar w:fldCharType="begin"/>
        </w:r>
        <w:r w:rsidR="008F02C1">
          <w:rPr>
            <w:webHidden/>
          </w:rPr>
          <w:instrText xml:space="preserve"> PAGEREF _Toc492622975 \h </w:instrText>
        </w:r>
        <w:r w:rsidR="008F02C1">
          <w:rPr>
            <w:webHidden/>
          </w:rPr>
        </w:r>
        <w:r w:rsidR="008F02C1">
          <w:rPr>
            <w:webHidden/>
          </w:rPr>
          <w:fldChar w:fldCharType="separate"/>
        </w:r>
        <w:r>
          <w:rPr>
            <w:webHidden/>
          </w:rPr>
          <w:t>63</w:t>
        </w:r>
        <w:r w:rsidR="008F02C1">
          <w:rPr>
            <w:webHidden/>
          </w:rPr>
          <w:fldChar w:fldCharType="end"/>
        </w:r>
      </w:hyperlink>
    </w:p>
    <w:p w14:paraId="200D3C6A" w14:textId="77777777" w:rsidR="007A4AD3" w:rsidRPr="00AB04AA" w:rsidRDefault="0076456D" w:rsidP="00D74385">
      <w:pPr>
        <w:ind w:left="-142"/>
      </w:pPr>
      <w:r>
        <w:fldChar w:fldCharType="end"/>
      </w:r>
    </w:p>
    <w:p w14:paraId="36D36AE7" w14:textId="7A4BAFE0" w:rsidR="007A4AD3" w:rsidRPr="00341581" w:rsidRDefault="00921D00" w:rsidP="00D74385">
      <w:pPr>
        <w:ind w:left="-142"/>
      </w:pPr>
      <w:r>
        <w:rPr>
          <w:szCs w:val="22"/>
        </w:rPr>
        <w:t xml:space="preserve">Information about </w:t>
      </w:r>
      <w:r w:rsidRPr="009A3DBD">
        <w:rPr>
          <w:szCs w:val="22"/>
        </w:rPr>
        <w:t>consultancies, overseas travel</w:t>
      </w:r>
      <w:r w:rsidR="00BF16BA">
        <w:rPr>
          <w:szCs w:val="22"/>
        </w:rPr>
        <w:t xml:space="preserve"> and</w:t>
      </w:r>
      <w:r>
        <w:rPr>
          <w:szCs w:val="22"/>
        </w:rPr>
        <w:t xml:space="preserve"> the </w:t>
      </w:r>
      <w:r w:rsidRPr="004008A3">
        <w:rPr>
          <w:i/>
          <w:szCs w:val="22"/>
        </w:rPr>
        <w:t>Queensland Language Services Policy</w:t>
      </w:r>
      <w:r>
        <w:rPr>
          <w:szCs w:val="22"/>
        </w:rPr>
        <w:t xml:space="preserve"> is available at the </w:t>
      </w:r>
      <w:r w:rsidRPr="009A3DBD">
        <w:rPr>
          <w:szCs w:val="22"/>
        </w:rPr>
        <w:t xml:space="preserve">Queensland Government Open Data </w:t>
      </w:r>
      <w:r>
        <w:rPr>
          <w:szCs w:val="22"/>
        </w:rPr>
        <w:t xml:space="preserve">website </w:t>
      </w:r>
      <w:r w:rsidRPr="009A3DBD">
        <w:rPr>
          <w:szCs w:val="22"/>
        </w:rPr>
        <w:t>(</w:t>
      </w:r>
      <w:hyperlink r:id="rId48" w:history="1">
        <w:r w:rsidR="008B495B" w:rsidRPr="009D1C26">
          <w:rPr>
            <w:rStyle w:val="Hyperlink"/>
            <w:szCs w:val="22"/>
          </w:rPr>
          <w:t>www.data.qld.gov.au/</w:t>
        </w:r>
      </w:hyperlink>
      <w:r w:rsidRPr="009A3DBD">
        <w:rPr>
          <w:szCs w:val="22"/>
        </w:rPr>
        <w:t>).</w:t>
      </w:r>
      <w:r w:rsidR="007A4AD3" w:rsidRPr="00341581">
        <w:br w:type="page"/>
      </w:r>
    </w:p>
    <w:p w14:paraId="67B8E2D4" w14:textId="46AAECE5" w:rsidR="00D01B67" w:rsidRDefault="00D142EC" w:rsidP="007703EB">
      <w:pPr>
        <w:pStyle w:val="Heading2"/>
      </w:pPr>
      <w:bookmarkStart w:id="17" w:name="_Toc460406667"/>
      <w:bookmarkStart w:id="18" w:name="_Toc460406817"/>
      <w:bookmarkStart w:id="19" w:name="_Toc460406853"/>
      <w:bookmarkStart w:id="20" w:name="_Toc460406932"/>
      <w:bookmarkStart w:id="21" w:name="_Toc460407046"/>
      <w:bookmarkStart w:id="22" w:name="_Toc492622942"/>
      <w:r w:rsidRPr="00AA3A0A">
        <w:lastRenderedPageBreak/>
        <w:t>Inspector-General’</w:t>
      </w:r>
      <w:r w:rsidR="00677D61" w:rsidRPr="00AA3A0A">
        <w:t xml:space="preserve">s </w:t>
      </w:r>
      <w:r w:rsidR="00D92C5C" w:rsidRPr="00AA3A0A">
        <w:t>m</w:t>
      </w:r>
      <w:r w:rsidR="00677D61" w:rsidRPr="00AA3A0A">
        <w:t>essage</w:t>
      </w:r>
      <w:bookmarkEnd w:id="17"/>
      <w:bookmarkEnd w:id="18"/>
      <w:bookmarkEnd w:id="19"/>
      <w:bookmarkEnd w:id="20"/>
      <w:bookmarkEnd w:id="21"/>
      <w:bookmarkEnd w:id="22"/>
    </w:p>
    <w:p w14:paraId="5264CD2D" w14:textId="2CD02FD6" w:rsidR="00B51D90" w:rsidRPr="004D77B1" w:rsidRDefault="00DC4946" w:rsidP="004D77B1">
      <w:pPr>
        <w:pStyle w:val="Default"/>
        <w:spacing w:before="120" w:after="120"/>
        <w:ind w:left="-142"/>
        <w:rPr>
          <w:sz w:val="22"/>
          <w:szCs w:val="22"/>
          <w:u w:val="none"/>
        </w:rPr>
      </w:pPr>
      <w:r w:rsidRPr="004D77B1">
        <w:rPr>
          <w:noProof/>
          <w:sz w:val="22"/>
          <w:szCs w:val="22"/>
          <w:lang w:eastAsia="en-AU"/>
        </w:rPr>
        <w:drawing>
          <wp:anchor distT="0" distB="0" distL="114300" distR="114300" simplePos="0" relativeHeight="251683840" behindDoc="1" locked="0" layoutInCell="1" allowOverlap="1" wp14:anchorId="3AB2ABC5" wp14:editId="5113EC39">
            <wp:simplePos x="0" y="0"/>
            <wp:positionH relativeFrom="column">
              <wp:posOffset>2715895</wp:posOffset>
            </wp:positionH>
            <wp:positionV relativeFrom="paragraph">
              <wp:posOffset>113030</wp:posOffset>
            </wp:positionV>
            <wp:extent cx="3400425" cy="2266950"/>
            <wp:effectExtent l="0" t="0" r="9525" b="0"/>
            <wp:wrapTight wrapText="bothSides">
              <wp:wrapPolygon edited="0">
                <wp:start x="0" y="0"/>
                <wp:lineTo x="0" y="21418"/>
                <wp:lineTo x="21539" y="21418"/>
                <wp:lineTo x="2153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EM_IainMackenzie.png"/>
                    <pic:cNvPicPr/>
                  </pic:nvPicPr>
                  <pic:blipFill>
                    <a:blip r:embed="rId49">
                      <a:extLst>
                        <a:ext uri="{28A0092B-C50C-407E-A947-70E740481C1C}">
                          <a14:useLocalDpi xmlns:a14="http://schemas.microsoft.com/office/drawing/2010/main" val="0"/>
                        </a:ext>
                      </a:extLst>
                    </a:blip>
                    <a:stretch>
                      <a:fillRect/>
                    </a:stretch>
                  </pic:blipFill>
                  <pic:spPr bwMode="auto">
                    <a:xfrm>
                      <a:off x="0" y="0"/>
                      <a:ext cx="3400425"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1D90" w:rsidRPr="004D77B1">
        <w:rPr>
          <w:sz w:val="22"/>
          <w:szCs w:val="22"/>
          <w:u w:val="none"/>
        </w:rPr>
        <w:t>The Office of the Inspector-General Emergency Management (</w:t>
      </w:r>
      <w:r w:rsidR="00AD04FC">
        <w:rPr>
          <w:sz w:val="22"/>
          <w:szCs w:val="22"/>
          <w:u w:val="none"/>
        </w:rPr>
        <w:t>IGEM</w:t>
      </w:r>
      <w:r w:rsidR="00B51D90" w:rsidRPr="004D77B1">
        <w:rPr>
          <w:sz w:val="22"/>
          <w:szCs w:val="22"/>
          <w:u w:val="none"/>
        </w:rPr>
        <w:t>) played a pivotal role in enhancing disaster management arrangements in Queensland during 2016-17.</w:t>
      </w:r>
    </w:p>
    <w:p w14:paraId="00201ADB" w14:textId="49C7DE10" w:rsidR="00B51D90" w:rsidRDefault="00B51D90" w:rsidP="004D77B1">
      <w:pPr>
        <w:ind w:left="-142"/>
      </w:pPr>
      <w:r>
        <w:t>Through a series of reviews, assurance activities and initiatives, the Office</w:t>
      </w:r>
      <w:r w:rsidR="00AD04FC">
        <w:t xml:space="preserve"> of the IGEM</w:t>
      </w:r>
      <w:r>
        <w:t xml:space="preserve"> continued to develop disaster management capability and effectiveness within the State and realise</w:t>
      </w:r>
      <w:r w:rsidR="00407FAB">
        <w:t>d</w:t>
      </w:r>
      <w:r>
        <w:t xml:space="preserve"> its vision of being a catalyst for excellence in emergency management.</w:t>
      </w:r>
    </w:p>
    <w:p w14:paraId="6AB2FF6D" w14:textId="77777777" w:rsidR="00B51D90" w:rsidRDefault="00B51D90" w:rsidP="004D77B1">
      <w:pPr>
        <w:ind w:left="-142"/>
      </w:pPr>
      <w:r>
        <w:t>It was particularly pleasing to see this vision demonstrated through events such as Severe Tropical Cyclone Debbie in March, with a number of positive impacts from past reviews and assurance activities clearly reflected in more effective arrangements and outcomes for Queenslanders.</w:t>
      </w:r>
    </w:p>
    <w:p w14:paraId="6FFDD775" w14:textId="139EE3EE" w:rsidR="00B51D90" w:rsidRDefault="00B51D90" w:rsidP="004D77B1">
      <w:pPr>
        <w:ind w:left="-142"/>
      </w:pPr>
      <w:r>
        <w:t>As part of the on-going drive towards disaster management excellence and continuous improvement, the Office</w:t>
      </w:r>
      <w:r w:rsidR="00AD04FC">
        <w:t xml:space="preserve"> of the IGEM</w:t>
      </w:r>
      <w:r>
        <w:t xml:space="preserve"> undertook a series of reviews during 2016-17 including:</w:t>
      </w:r>
    </w:p>
    <w:p w14:paraId="783F8A14" w14:textId="77777777" w:rsidR="00B51D90" w:rsidRDefault="00B51D90" w:rsidP="004D77B1">
      <w:pPr>
        <w:pStyle w:val="ListParagraph"/>
        <w:numPr>
          <w:ilvl w:val="0"/>
          <w:numId w:val="40"/>
        </w:numPr>
        <w:spacing w:before="0" w:after="160" w:line="259" w:lineRule="auto"/>
        <w:ind w:left="284" w:hanging="426"/>
      </w:pPr>
      <w:r>
        <w:t>commencement of a review into the effectiveness of disaster management arrangements associated with Severe Tropical Cyclone Debbie</w:t>
      </w:r>
    </w:p>
    <w:p w14:paraId="38A114BB" w14:textId="77777777" w:rsidR="00B51D90" w:rsidRDefault="00B51D90" w:rsidP="004D77B1">
      <w:pPr>
        <w:pStyle w:val="ListParagraph"/>
        <w:numPr>
          <w:ilvl w:val="0"/>
          <w:numId w:val="40"/>
        </w:numPr>
        <w:spacing w:before="0" w:after="160" w:line="259" w:lineRule="auto"/>
        <w:ind w:left="284" w:hanging="426"/>
      </w:pPr>
      <w:r>
        <w:t>a review into the capability of the Mackay Disaster District to deliver effective disaster management outcomes</w:t>
      </w:r>
    </w:p>
    <w:p w14:paraId="16A52054" w14:textId="77777777" w:rsidR="00B51D90" w:rsidRDefault="00B51D90" w:rsidP="004D77B1">
      <w:pPr>
        <w:pStyle w:val="ListParagraph"/>
        <w:numPr>
          <w:ilvl w:val="0"/>
          <w:numId w:val="40"/>
        </w:numPr>
        <w:spacing w:before="0" w:after="160" w:line="259" w:lineRule="auto"/>
        <w:ind w:left="284" w:hanging="426"/>
      </w:pPr>
      <w:r>
        <w:t>a review and assessment of the State Disaster Management Plan and its implementation</w:t>
      </w:r>
    </w:p>
    <w:p w14:paraId="57D5FA8D" w14:textId="77777777" w:rsidR="00B51D90" w:rsidRDefault="00B51D90" w:rsidP="004D77B1">
      <w:pPr>
        <w:pStyle w:val="ListParagraph"/>
        <w:numPr>
          <w:ilvl w:val="0"/>
          <w:numId w:val="40"/>
        </w:numPr>
        <w:spacing w:before="0" w:after="160" w:line="259" w:lineRule="auto"/>
        <w:ind w:left="284" w:hanging="426"/>
      </w:pPr>
      <w:r>
        <w:t xml:space="preserve">commencement of a review of evacuation management arrangements to ensure community preparedness.   </w:t>
      </w:r>
    </w:p>
    <w:p w14:paraId="46F9CA5D" w14:textId="519AEC50" w:rsidR="00B51D90" w:rsidRDefault="00B51D90" w:rsidP="004D77B1">
      <w:pPr>
        <w:ind w:left="-142"/>
      </w:pPr>
      <w:r>
        <w:t xml:space="preserve">To enhance disaster management excellence at the local level, the Office </w:t>
      </w:r>
      <w:r w:rsidR="00AD04FC">
        <w:t xml:space="preserve">of the IGEM </w:t>
      </w:r>
      <w:r>
        <w:t>also undertook an extensive range of supporting activities including:</w:t>
      </w:r>
    </w:p>
    <w:p w14:paraId="77D53523" w14:textId="77777777" w:rsidR="00B51D90" w:rsidRDefault="00B51D90" w:rsidP="004D77B1">
      <w:pPr>
        <w:pStyle w:val="ListParagraph"/>
        <w:numPr>
          <w:ilvl w:val="0"/>
          <w:numId w:val="41"/>
        </w:numPr>
        <w:spacing w:before="0" w:after="160" w:line="259" w:lineRule="auto"/>
        <w:ind w:left="284" w:hanging="426"/>
      </w:pPr>
      <w:r>
        <w:t>workshops with key stakeholders including Queensland Health and the State Disaster Coordination Group to further embed the Emergency Management Assurance Framework and the Standard for Disaster Management into the disaster management sector</w:t>
      </w:r>
    </w:p>
    <w:p w14:paraId="49647A5F" w14:textId="2C7BFB33" w:rsidR="00B51D90" w:rsidRDefault="00B51D90" w:rsidP="004D77B1">
      <w:pPr>
        <w:pStyle w:val="ListParagraph"/>
        <w:numPr>
          <w:ilvl w:val="0"/>
          <w:numId w:val="41"/>
        </w:numPr>
        <w:spacing w:before="0" w:after="160" w:line="259" w:lineRule="auto"/>
        <w:ind w:left="284" w:hanging="426"/>
      </w:pPr>
      <w:r>
        <w:t xml:space="preserve">facilitated the rapidly-expanding </w:t>
      </w:r>
      <w:r w:rsidR="004D77B1">
        <w:t>Disaster Management Officer (</w:t>
      </w:r>
      <w:r>
        <w:t>DMO</w:t>
      </w:r>
      <w:r w:rsidR="004D77B1">
        <w:t>)</w:t>
      </w:r>
      <w:r>
        <w:t xml:space="preserve"> Network, including a forum in Mackay in May attended by approximately 70 </w:t>
      </w:r>
      <w:r w:rsidR="00AD04FC">
        <w:t>delegates</w:t>
      </w:r>
    </w:p>
    <w:p w14:paraId="2EB775B0" w14:textId="66102805" w:rsidR="00B51D90" w:rsidRDefault="00B51D90" w:rsidP="004D77B1">
      <w:pPr>
        <w:pStyle w:val="ListParagraph"/>
        <w:numPr>
          <w:ilvl w:val="0"/>
          <w:numId w:val="41"/>
        </w:numPr>
        <w:spacing w:before="0" w:after="160" w:line="259" w:lineRule="auto"/>
        <w:ind w:left="284" w:hanging="426"/>
      </w:pPr>
      <w:r>
        <w:t>partnered with the Local Government Association of Queensland</w:t>
      </w:r>
      <w:r w:rsidR="004D77B1">
        <w:t xml:space="preserve"> (LGAQ)</w:t>
      </w:r>
      <w:r>
        <w:t xml:space="preserve"> to deliver 10 disaster management workshops across</w:t>
      </w:r>
      <w:r w:rsidR="00A61BF9">
        <w:t xml:space="preserve"> the State following the local g</w:t>
      </w:r>
      <w:r>
        <w:t>overnment elections in 2016</w:t>
      </w:r>
    </w:p>
    <w:p w14:paraId="4F2ABF59" w14:textId="77777777" w:rsidR="00B51D90" w:rsidRDefault="00B51D90" w:rsidP="004D77B1">
      <w:pPr>
        <w:pStyle w:val="ListParagraph"/>
        <w:numPr>
          <w:ilvl w:val="0"/>
          <w:numId w:val="41"/>
        </w:numPr>
        <w:spacing w:before="0" w:after="160" w:line="259" w:lineRule="auto"/>
        <w:ind w:left="284" w:hanging="426"/>
      </w:pPr>
      <w:r>
        <w:t>publicly released a discussion paper on the review of documentation relating to 152 disaster management exercises conducted between 2010 and 2015</w:t>
      </w:r>
    </w:p>
    <w:p w14:paraId="35FB8E14" w14:textId="77777777" w:rsidR="00B51D90" w:rsidRDefault="00B51D90" w:rsidP="004D77B1">
      <w:pPr>
        <w:pStyle w:val="ListParagraph"/>
        <w:numPr>
          <w:ilvl w:val="0"/>
          <w:numId w:val="41"/>
        </w:numPr>
        <w:spacing w:before="0" w:after="160" w:line="259" w:lineRule="auto"/>
        <w:ind w:left="284" w:hanging="426"/>
      </w:pPr>
      <w:r>
        <w:t>facilitated a lexicon project to promote common language across the disaster management sector</w:t>
      </w:r>
    </w:p>
    <w:p w14:paraId="0E865974" w14:textId="2A870B00" w:rsidR="00B51D90" w:rsidRDefault="00B51D90" w:rsidP="004D77B1">
      <w:pPr>
        <w:pStyle w:val="ListParagraph"/>
        <w:numPr>
          <w:ilvl w:val="0"/>
          <w:numId w:val="41"/>
        </w:numPr>
        <w:spacing w:before="0" w:after="160" w:line="259" w:lineRule="auto"/>
        <w:ind w:left="284" w:hanging="426"/>
      </w:pPr>
      <w:r>
        <w:t xml:space="preserve">completed an annual assessment of local government and district group plans, processes and activities in achieving the key outcomes of Queensland’s Standard for Disaster Management. </w:t>
      </w:r>
    </w:p>
    <w:p w14:paraId="0BAD6C12" w14:textId="2B60A38D" w:rsidR="00C405CF" w:rsidRDefault="00B51D90" w:rsidP="004D77B1">
      <w:pPr>
        <w:ind w:left="-142"/>
      </w:pPr>
      <w:r>
        <w:t>On the basis of extensive stakeholder feedba</w:t>
      </w:r>
      <w:r w:rsidR="00704D7F">
        <w:t>ck, the</w:t>
      </w:r>
      <w:r>
        <w:t xml:space="preserve"> Office</w:t>
      </w:r>
      <w:r w:rsidR="00AD04FC">
        <w:t xml:space="preserve"> of the IGEM</w:t>
      </w:r>
      <w:r>
        <w:t xml:space="preserve"> drove the establishment of a research framework during 2016-17 to nurture partnerships, cooperation and understanding between academic institutions, government agencies and disaster management practitioners and significantly boost evidence-based decision-making in disaster management in Queensland.</w:t>
      </w:r>
    </w:p>
    <w:p w14:paraId="6C102DAB" w14:textId="356F31C3" w:rsidR="00B51D90" w:rsidRDefault="00B51D90" w:rsidP="004D77B1">
      <w:pPr>
        <w:ind w:left="-142"/>
      </w:pPr>
      <w:r>
        <w:t>As part of broader collaborative work with th</w:t>
      </w:r>
      <w:r w:rsidR="00704D7F">
        <w:t>e tertiary sector, in 2016-17 the</w:t>
      </w:r>
      <w:r>
        <w:t xml:space="preserve"> Office</w:t>
      </w:r>
      <w:r w:rsidR="00AD04FC">
        <w:t xml:space="preserve"> of the IGEM</w:t>
      </w:r>
      <w:r>
        <w:t>:</w:t>
      </w:r>
    </w:p>
    <w:p w14:paraId="43B4F487" w14:textId="77777777" w:rsidR="00B51D90" w:rsidRDefault="00B51D90" w:rsidP="004D77B1">
      <w:pPr>
        <w:pStyle w:val="ListParagraph"/>
        <w:numPr>
          <w:ilvl w:val="0"/>
          <w:numId w:val="41"/>
        </w:numPr>
        <w:spacing w:before="0" w:after="160" w:line="259" w:lineRule="auto"/>
        <w:ind w:left="284" w:hanging="426"/>
      </w:pPr>
      <w:r>
        <w:t>completed research on best practice emergency supply including guiding principles, lessons and an action framework, in partnership with Griffith University</w:t>
      </w:r>
    </w:p>
    <w:p w14:paraId="1015BF2E" w14:textId="77777777" w:rsidR="00B51D90" w:rsidRDefault="00B51D90" w:rsidP="004D77B1">
      <w:pPr>
        <w:pStyle w:val="ListParagraph"/>
        <w:numPr>
          <w:ilvl w:val="0"/>
          <w:numId w:val="41"/>
        </w:numPr>
        <w:spacing w:before="0" w:after="160" w:line="259" w:lineRule="auto"/>
        <w:ind w:left="284" w:hanging="426"/>
      </w:pPr>
      <w:r>
        <w:lastRenderedPageBreak/>
        <w:t xml:space="preserve">developed a database of more than 70 university researchers specialising in disaster and emergency management to potentially work with disaster management practitioners </w:t>
      </w:r>
    </w:p>
    <w:p w14:paraId="2D53FCE9" w14:textId="77777777" w:rsidR="00B51D90" w:rsidRDefault="00B51D90" w:rsidP="004D77B1">
      <w:pPr>
        <w:pStyle w:val="ListParagraph"/>
        <w:numPr>
          <w:ilvl w:val="0"/>
          <w:numId w:val="41"/>
        </w:numPr>
        <w:spacing w:before="0" w:after="160" w:line="259" w:lineRule="auto"/>
        <w:ind w:left="284" w:hanging="426"/>
      </w:pPr>
      <w:r>
        <w:t>undertook a 10 week study into the potential use of immersive technologies in the disaster management sphere utilising a Queensland University of Technology (QUT) intern</w:t>
      </w:r>
    </w:p>
    <w:p w14:paraId="0A1A4F23" w14:textId="77777777" w:rsidR="00B51D90" w:rsidRDefault="00B51D90" w:rsidP="004D77B1">
      <w:pPr>
        <w:pStyle w:val="ListParagraph"/>
        <w:numPr>
          <w:ilvl w:val="0"/>
          <w:numId w:val="41"/>
        </w:numPr>
        <w:spacing w:before="0" w:after="160" w:line="259" w:lineRule="auto"/>
        <w:ind w:left="284" w:hanging="426"/>
      </w:pPr>
      <w:r>
        <w:t xml:space="preserve">began scoping work with QUT to potentially undertake a proof-of-concept project using augmented and/or virtual reality regarding evacuation at the university’s Gardens Point campus </w:t>
      </w:r>
    </w:p>
    <w:p w14:paraId="2E5AB90C" w14:textId="19BDD372" w:rsidR="00B51D90" w:rsidRDefault="00B51D90" w:rsidP="004D77B1">
      <w:pPr>
        <w:pStyle w:val="ListParagraph"/>
        <w:numPr>
          <w:ilvl w:val="0"/>
          <w:numId w:val="41"/>
        </w:numPr>
        <w:spacing w:before="0" w:after="160" w:line="259" w:lineRule="auto"/>
        <w:ind w:left="284" w:hanging="426"/>
      </w:pPr>
      <w:r>
        <w:t>continued support of undergraduate studies and development of a stati</w:t>
      </w:r>
      <w:r w:rsidR="00A61BF9">
        <w:t>sti</w:t>
      </w:r>
      <w:r>
        <w:t xml:space="preserve">cally robust database regarding disaster management topics with QUT. </w:t>
      </w:r>
    </w:p>
    <w:p w14:paraId="6979D833" w14:textId="73580230" w:rsidR="00B51D90" w:rsidRDefault="00B51D90" w:rsidP="004D77B1">
      <w:pPr>
        <w:ind w:left="-142"/>
      </w:pPr>
      <w:r>
        <w:t>In suppor</w:t>
      </w:r>
      <w:r w:rsidR="00704D7F">
        <w:t>t of this comprehensive work, the</w:t>
      </w:r>
      <w:r>
        <w:t xml:space="preserve"> Office </w:t>
      </w:r>
      <w:r w:rsidR="00AD04FC">
        <w:t xml:space="preserve">of the IGEM </w:t>
      </w:r>
      <w:r>
        <w:t>maintained its strong commi</w:t>
      </w:r>
      <w:r w:rsidR="00A61BF9">
        <w:t>tment to engagement across the s</w:t>
      </w:r>
      <w:r>
        <w:t>tate and met with a significant number of mayors, local gov</w:t>
      </w:r>
      <w:r w:rsidR="00A61BF9">
        <w:t>ernment senior executives, and state g</w:t>
      </w:r>
      <w:r>
        <w:t xml:space="preserve">overnment </w:t>
      </w:r>
      <w:r w:rsidR="00AD04FC">
        <w:t>d</w:t>
      </w:r>
      <w:r>
        <w:t>irectors-</w:t>
      </w:r>
      <w:r w:rsidR="00AD04FC">
        <w:t>g</w:t>
      </w:r>
      <w:r>
        <w:t>eneral.</w:t>
      </w:r>
    </w:p>
    <w:p w14:paraId="02680A60" w14:textId="77777777" w:rsidR="00B51D90" w:rsidRDefault="00B51D90" w:rsidP="004D77B1">
      <w:pPr>
        <w:ind w:left="-142"/>
      </w:pPr>
      <w:r>
        <w:t>The relational work also included presentations and attendance at local and district disaster management group meetings throughout Queensland; participation at disaster management exercises; and direct involvement at conferences, workshops, forums and symposiums.</w:t>
      </w:r>
    </w:p>
    <w:p w14:paraId="6C62C34A" w14:textId="77777777" w:rsidR="00B51D90" w:rsidRDefault="00B51D90" w:rsidP="004D77B1">
      <w:pPr>
        <w:ind w:left="-142"/>
      </w:pPr>
      <w:r>
        <w:t>The deep commitment to engagement and partnering with stakeholders across the sector was reflected in an improvement in formal customer satisfaction during 2016-17. Overall, 87% of stakeholders were either “satisfied” or “very satisfied” with the services and advice provided by the Office.</w:t>
      </w:r>
    </w:p>
    <w:p w14:paraId="23EAD37D" w14:textId="33D59DCE" w:rsidR="00B51D90" w:rsidRDefault="00B51D90" w:rsidP="004D77B1">
      <w:pPr>
        <w:ind w:left="-142"/>
      </w:pPr>
      <w:r>
        <w:t>Consistent with our approach with stakeholders in th</w:t>
      </w:r>
      <w:r w:rsidR="00704D7F">
        <w:t>e disaster management sector, the</w:t>
      </w:r>
      <w:r>
        <w:t xml:space="preserve"> Office will strive to continuously improve its own performance in 2017-18 and seek to further enhance its role in maintaining Queensland’s position at the forefront of disaster management in Australia.</w:t>
      </w:r>
    </w:p>
    <w:p w14:paraId="11EAAB7D" w14:textId="166D0420" w:rsidR="00B51D90" w:rsidRDefault="006B42FD" w:rsidP="004D77B1">
      <w:pPr>
        <w:ind w:left="-142" w:firstLine="142"/>
      </w:pPr>
      <w:r>
        <w:rPr>
          <w:noProof/>
          <w:lang w:val="en-AU" w:eastAsia="en-AU"/>
        </w:rPr>
        <w:drawing>
          <wp:anchor distT="0" distB="0" distL="114300" distR="114300" simplePos="0" relativeHeight="251700224" behindDoc="1" locked="0" layoutInCell="1" allowOverlap="1" wp14:anchorId="58C00621" wp14:editId="3385DE37">
            <wp:simplePos x="0" y="0"/>
            <wp:positionH relativeFrom="column">
              <wp:posOffset>-224790</wp:posOffset>
            </wp:positionH>
            <wp:positionV relativeFrom="paragraph">
              <wp:posOffset>81280</wp:posOffset>
            </wp:positionV>
            <wp:extent cx="2071116" cy="790956"/>
            <wp:effectExtent l="0" t="0" r="5715" b="9525"/>
            <wp:wrapTight wrapText="bothSides">
              <wp:wrapPolygon edited="0">
                <wp:start x="0" y="0"/>
                <wp:lineTo x="0" y="21340"/>
                <wp:lineTo x="21461" y="21340"/>
                <wp:lineTo x="21461"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GEM_signature.jpg"/>
                    <pic:cNvPicPr/>
                  </pic:nvPicPr>
                  <pic:blipFill>
                    <a:blip r:embed="rId50">
                      <a:extLst>
                        <a:ext uri="{28A0092B-C50C-407E-A947-70E740481C1C}">
                          <a14:useLocalDpi xmlns:a14="http://schemas.microsoft.com/office/drawing/2010/main" val="0"/>
                        </a:ext>
                      </a:extLst>
                    </a:blip>
                    <a:stretch>
                      <a:fillRect/>
                    </a:stretch>
                  </pic:blipFill>
                  <pic:spPr>
                    <a:xfrm>
                      <a:off x="0" y="0"/>
                      <a:ext cx="2071116" cy="790956"/>
                    </a:xfrm>
                    <a:prstGeom prst="rect">
                      <a:avLst/>
                    </a:prstGeom>
                  </pic:spPr>
                </pic:pic>
              </a:graphicData>
            </a:graphic>
            <wp14:sizeRelH relativeFrom="page">
              <wp14:pctWidth>0</wp14:pctWidth>
            </wp14:sizeRelH>
            <wp14:sizeRelV relativeFrom="page">
              <wp14:pctHeight>0</wp14:pctHeight>
            </wp14:sizeRelV>
          </wp:anchor>
        </w:drawing>
      </w:r>
    </w:p>
    <w:p w14:paraId="3DB37B39" w14:textId="77777777" w:rsidR="00B51D90" w:rsidRDefault="00B51D90" w:rsidP="004D77B1">
      <w:pPr>
        <w:ind w:left="-142" w:firstLine="142"/>
      </w:pPr>
    </w:p>
    <w:p w14:paraId="298B08E8" w14:textId="77777777" w:rsidR="00B51D90" w:rsidRDefault="00B51D90" w:rsidP="004D77B1">
      <w:pPr>
        <w:ind w:left="-142" w:firstLine="142"/>
      </w:pPr>
    </w:p>
    <w:p w14:paraId="6C551D81" w14:textId="77777777" w:rsidR="006B42FD" w:rsidRDefault="006B42FD" w:rsidP="004D77B1">
      <w:pPr>
        <w:ind w:left="-142"/>
      </w:pPr>
    </w:p>
    <w:p w14:paraId="55E185E5" w14:textId="5F03EA32" w:rsidR="00B51D90" w:rsidRDefault="00A61BF9" w:rsidP="004D77B1">
      <w:pPr>
        <w:ind w:left="-142"/>
      </w:pPr>
      <w:r>
        <w:t>Iain S MacK</w:t>
      </w:r>
      <w:r w:rsidR="00B51D90">
        <w:t>enzie AFSM</w:t>
      </w:r>
    </w:p>
    <w:p w14:paraId="47DA8552" w14:textId="52BA9487" w:rsidR="00B51D90" w:rsidRDefault="00B51D90" w:rsidP="004D77B1">
      <w:pPr>
        <w:ind w:left="-142"/>
      </w:pPr>
      <w:r>
        <w:t>Inspector-General Emergency Management</w:t>
      </w:r>
    </w:p>
    <w:p w14:paraId="2A052199" w14:textId="501D73BD" w:rsidR="00B51D90" w:rsidRDefault="006B42FD" w:rsidP="004D77B1">
      <w:pPr>
        <w:ind w:left="-142"/>
      </w:pPr>
      <w:r>
        <w:t>7</w:t>
      </w:r>
      <w:r w:rsidRPr="006B42FD">
        <w:rPr>
          <w:vertAlign w:val="superscript"/>
        </w:rPr>
        <w:t>th</w:t>
      </w:r>
      <w:r>
        <w:t xml:space="preserve"> </w:t>
      </w:r>
      <w:r w:rsidR="00B51D90">
        <w:t>September 2017</w:t>
      </w:r>
    </w:p>
    <w:p w14:paraId="71CB405F" w14:textId="77777777" w:rsidR="00B51D90" w:rsidRDefault="00B51D90" w:rsidP="00B51D90"/>
    <w:p w14:paraId="71193D44" w14:textId="4346E5CC" w:rsidR="00B40B59" w:rsidRDefault="00B40B59" w:rsidP="007464C1">
      <w:pPr>
        <w:pStyle w:val="Default"/>
        <w:spacing w:before="120" w:after="120"/>
        <w:rPr>
          <w:sz w:val="22"/>
          <w:szCs w:val="22"/>
          <w:u w:val="none"/>
        </w:rPr>
      </w:pPr>
    </w:p>
    <w:p w14:paraId="705057BB" w14:textId="77777777" w:rsidR="00B40B59" w:rsidRDefault="00B40B59" w:rsidP="00797F44">
      <w:pPr>
        <w:pStyle w:val="Default"/>
        <w:tabs>
          <w:tab w:val="left" w:pos="0"/>
        </w:tabs>
        <w:spacing w:before="120" w:after="120"/>
        <w:rPr>
          <w:sz w:val="22"/>
          <w:szCs w:val="22"/>
          <w:u w:val="none"/>
        </w:rPr>
      </w:pPr>
      <w:r>
        <w:rPr>
          <w:sz w:val="22"/>
          <w:szCs w:val="22"/>
          <w:u w:val="none"/>
        </w:rPr>
        <w:br w:type="page"/>
      </w:r>
    </w:p>
    <w:p w14:paraId="55428EDA" w14:textId="77777777" w:rsidR="00677D61" w:rsidRPr="001D617A" w:rsidRDefault="00677D61" w:rsidP="00D77F80">
      <w:pPr>
        <w:pStyle w:val="Heading1"/>
        <w:ind w:left="0" w:right="77"/>
      </w:pPr>
      <w:bookmarkStart w:id="23" w:name="_Toc415049793"/>
      <w:bookmarkStart w:id="24" w:name="_Toc415050345"/>
      <w:bookmarkStart w:id="25" w:name="_Toc441671796"/>
      <w:bookmarkStart w:id="26" w:name="_Toc441672084"/>
      <w:bookmarkStart w:id="27" w:name="_Toc442168872"/>
      <w:bookmarkStart w:id="28" w:name="_Toc442339177"/>
      <w:bookmarkStart w:id="29" w:name="_Toc460406668"/>
      <w:bookmarkStart w:id="30" w:name="_Toc460406818"/>
      <w:bookmarkStart w:id="31" w:name="_Toc460406854"/>
      <w:bookmarkStart w:id="32" w:name="_Toc460406933"/>
      <w:bookmarkStart w:id="33" w:name="_Toc460407047"/>
      <w:bookmarkStart w:id="34" w:name="_Toc492622943"/>
      <w:r w:rsidRPr="001F5A45">
        <w:lastRenderedPageBreak/>
        <w:t>O</w:t>
      </w:r>
      <w:r w:rsidR="00B2375C" w:rsidRPr="001F5A45">
        <w:t>verview</w:t>
      </w:r>
      <w:bookmarkEnd w:id="23"/>
      <w:bookmarkEnd w:id="24"/>
      <w:bookmarkEnd w:id="25"/>
      <w:bookmarkEnd w:id="26"/>
      <w:bookmarkEnd w:id="27"/>
      <w:bookmarkEnd w:id="28"/>
      <w:bookmarkEnd w:id="29"/>
      <w:bookmarkEnd w:id="30"/>
      <w:bookmarkEnd w:id="31"/>
      <w:bookmarkEnd w:id="32"/>
      <w:bookmarkEnd w:id="33"/>
      <w:bookmarkEnd w:id="34"/>
    </w:p>
    <w:p w14:paraId="24E20AFB" w14:textId="77777777" w:rsidR="00AB39F4" w:rsidRPr="001D617A" w:rsidRDefault="00AB39F4" w:rsidP="007703EB">
      <w:pPr>
        <w:pStyle w:val="Heading2"/>
      </w:pPr>
      <w:bookmarkStart w:id="35" w:name="_Toc492622944"/>
      <w:bookmarkStart w:id="36" w:name="_TOC_250018"/>
      <w:bookmarkStart w:id="37" w:name="_Toc441671800"/>
      <w:bookmarkStart w:id="38" w:name="_Toc441672088"/>
      <w:bookmarkStart w:id="39" w:name="_Toc442168876"/>
      <w:bookmarkStart w:id="40" w:name="_Toc460406673"/>
      <w:bookmarkStart w:id="41" w:name="_Toc460406823"/>
      <w:bookmarkStart w:id="42" w:name="_Toc460406859"/>
      <w:bookmarkStart w:id="43" w:name="_Toc460406938"/>
      <w:bookmarkStart w:id="44" w:name="_Toc460407052"/>
      <w:bookmarkStart w:id="45" w:name="_Toc415049798"/>
      <w:bookmarkStart w:id="46" w:name="_Toc415050350"/>
      <w:r w:rsidRPr="006243D0">
        <w:t>Public safety portfolio overview</w:t>
      </w:r>
      <w:bookmarkEnd w:id="35"/>
    </w:p>
    <w:p w14:paraId="0ECBF4FC" w14:textId="77777777" w:rsidR="00AB39F4" w:rsidRPr="000424FC" w:rsidRDefault="00AB39F4" w:rsidP="00FE1C06">
      <w:pPr>
        <w:pStyle w:val="BodyText"/>
        <w:ind w:left="-142"/>
        <w:rPr>
          <w:szCs w:val="22"/>
        </w:rPr>
      </w:pPr>
      <w:r w:rsidRPr="000424FC">
        <w:rPr>
          <w:szCs w:val="22"/>
        </w:rPr>
        <w:t>The public safety portfolio, under the Minister for Police, Fire and Emergency Services</w:t>
      </w:r>
      <w:r w:rsidRPr="000424FC">
        <w:rPr>
          <w:spacing w:val="-28"/>
          <w:szCs w:val="22"/>
        </w:rPr>
        <w:t xml:space="preserve"> </w:t>
      </w:r>
      <w:r w:rsidRPr="000424FC">
        <w:rPr>
          <w:szCs w:val="22"/>
        </w:rPr>
        <w:t>and</w:t>
      </w:r>
      <w:r w:rsidRPr="000424FC">
        <w:rPr>
          <w:spacing w:val="-1"/>
          <w:szCs w:val="22"/>
        </w:rPr>
        <w:t xml:space="preserve"> </w:t>
      </w:r>
      <w:r w:rsidRPr="000424FC">
        <w:rPr>
          <w:szCs w:val="22"/>
        </w:rPr>
        <w:t>Minister for Corrective Services, consists of the:</w:t>
      </w:r>
    </w:p>
    <w:p w14:paraId="41822B0F" w14:textId="77777777" w:rsidR="00AB39F4" w:rsidRPr="000424FC" w:rsidRDefault="00AB39F4" w:rsidP="00FE1C06">
      <w:pPr>
        <w:pStyle w:val="ListParagraph"/>
        <w:widowControl w:val="0"/>
        <w:numPr>
          <w:ilvl w:val="0"/>
          <w:numId w:val="42"/>
        </w:numPr>
        <w:tabs>
          <w:tab w:val="left" w:pos="473"/>
        </w:tabs>
        <w:ind w:left="-142" w:firstLine="0"/>
        <w:contextualSpacing w:val="0"/>
        <w:rPr>
          <w:szCs w:val="22"/>
        </w:rPr>
      </w:pPr>
      <w:r w:rsidRPr="000424FC">
        <w:rPr>
          <w:szCs w:val="22"/>
        </w:rPr>
        <w:t>Office of the Inspector-General</w:t>
      </w:r>
      <w:r w:rsidRPr="000424FC">
        <w:rPr>
          <w:spacing w:val="-13"/>
          <w:szCs w:val="22"/>
        </w:rPr>
        <w:t xml:space="preserve"> </w:t>
      </w:r>
      <w:r w:rsidRPr="000424FC">
        <w:rPr>
          <w:szCs w:val="22"/>
        </w:rPr>
        <w:t xml:space="preserve">Emergency Management (IGEM) </w:t>
      </w:r>
    </w:p>
    <w:p w14:paraId="39BAAB2D" w14:textId="77777777" w:rsidR="00AB39F4" w:rsidRPr="000424FC" w:rsidRDefault="00AB39F4" w:rsidP="00FE1C06">
      <w:pPr>
        <w:pStyle w:val="ListParagraph"/>
        <w:widowControl w:val="0"/>
        <w:numPr>
          <w:ilvl w:val="0"/>
          <w:numId w:val="42"/>
        </w:numPr>
        <w:tabs>
          <w:tab w:val="left" w:pos="473"/>
        </w:tabs>
        <w:ind w:left="-142" w:firstLine="0"/>
        <w:contextualSpacing w:val="0"/>
        <w:rPr>
          <w:szCs w:val="22"/>
        </w:rPr>
      </w:pPr>
      <w:r w:rsidRPr="000424FC">
        <w:rPr>
          <w:szCs w:val="22"/>
        </w:rPr>
        <w:t>Public Safety Business Agency (PSBA)</w:t>
      </w:r>
    </w:p>
    <w:p w14:paraId="4945B730" w14:textId="77777777" w:rsidR="00AB39F4" w:rsidRPr="000424FC" w:rsidRDefault="00AB39F4" w:rsidP="00FE1C06">
      <w:pPr>
        <w:pStyle w:val="ListParagraph"/>
        <w:widowControl w:val="0"/>
        <w:numPr>
          <w:ilvl w:val="0"/>
          <w:numId w:val="42"/>
        </w:numPr>
        <w:tabs>
          <w:tab w:val="left" w:pos="473"/>
        </w:tabs>
        <w:ind w:left="-142" w:firstLine="0"/>
        <w:contextualSpacing w:val="0"/>
        <w:rPr>
          <w:szCs w:val="22"/>
        </w:rPr>
      </w:pPr>
      <w:r w:rsidRPr="000424FC">
        <w:rPr>
          <w:szCs w:val="22"/>
        </w:rPr>
        <w:t>Queensland Fire and</w:t>
      </w:r>
      <w:r w:rsidRPr="000424FC">
        <w:rPr>
          <w:spacing w:val="-30"/>
          <w:szCs w:val="22"/>
        </w:rPr>
        <w:t xml:space="preserve"> </w:t>
      </w:r>
      <w:r w:rsidRPr="000424FC">
        <w:rPr>
          <w:szCs w:val="22"/>
        </w:rPr>
        <w:t xml:space="preserve">Emergency Services (QFES) </w:t>
      </w:r>
    </w:p>
    <w:p w14:paraId="12917E1D" w14:textId="77777777" w:rsidR="00AB39F4" w:rsidRPr="000424FC" w:rsidRDefault="00AB39F4" w:rsidP="00FE1C06">
      <w:pPr>
        <w:pStyle w:val="ListParagraph"/>
        <w:widowControl w:val="0"/>
        <w:numPr>
          <w:ilvl w:val="0"/>
          <w:numId w:val="42"/>
        </w:numPr>
        <w:tabs>
          <w:tab w:val="left" w:pos="473"/>
        </w:tabs>
        <w:ind w:left="-142" w:firstLine="0"/>
        <w:contextualSpacing w:val="0"/>
        <w:rPr>
          <w:szCs w:val="22"/>
        </w:rPr>
      </w:pPr>
      <w:r w:rsidRPr="000424FC">
        <w:rPr>
          <w:szCs w:val="22"/>
        </w:rPr>
        <w:t xml:space="preserve">Queensland Police Service (QPS). </w:t>
      </w:r>
    </w:p>
    <w:p w14:paraId="729FD18F" w14:textId="77777777" w:rsidR="00AB39F4" w:rsidRPr="000424FC" w:rsidRDefault="00AB39F4" w:rsidP="00FE1C06">
      <w:pPr>
        <w:pStyle w:val="BodyText"/>
        <w:ind w:left="-142"/>
        <w:rPr>
          <w:szCs w:val="22"/>
        </w:rPr>
      </w:pPr>
      <w:r w:rsidRPr="000424FC">
        <w:rPr>
          <w:szCs w:val="22"/>
        </w:rPr>
        <w:t>The portfolio structure is designed</w:t>
      </w:r>
      <w:r w:rsidRPr="000424FC">
        <w:rPr>
          <w:spacing w:val="-33"/>
          <w:szCs w:val="22"/>
        </w:rPr>
        <w:t xml:space="preserve"> </w:t>
      </w:r>
      <w:r w:rsidRPr="000424FC">
        <w:rPr>
          <w:szCs w:val="22"/>
        </w:rPr>
        <w:t>to support an integrated and collaborative approach to service</w:t>
      </w:r>
      <w:r w:rsidRPr="000424FC">
        <w:rPr>
          <w:spacing w:val="-29"/>
          <w:szCs w:val="22"/>
        </w:rPr>
        <w:t xml:space="preserve"> </w:t>
      </w:r>
      <w:r w:rsidRPr="000424FC">
        <w:rPr>
          <w:szCs w:val="22"/>
        </w:rPr>
        <w:t>delivery.</w:t>
      </w:r>
    </w:p>
    <w:p w14:paraId="78374F89" w14:textId="77777777" w:rsidR="00AB39F4" w:rsidRPr="00341581" w:rsidRDefault="00AB39F4" w:rsidP="00AB39F4">
      <w:pPr>
        <w:pStyle w:val="BodyText"/>
        <w:ind w:left="112" w:right="646"/>
      </w:pPr>
      <w:r>
        <w:object w:dxaOrig="8588" w:dyaOrig="6504" w14:anchorId="38260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15pt;height:324.85pt" o:ole="">
            <v:imagedata r:id="rId51" o:title=""/>
          </v:shape>
          <o:OLEObject Type="Embed" ProgID="Visio.Drawing.11" ShapeID="_x0000_i1025" DrawAspect="Content" ObjectID="_1568118528" r:id="rId52"/>
        </w:object>
      </w:r>
    </w:p>
    <w:p w14:paraId="7CF32CE2" w14:textId="77777777" w:rsidR="00AB39F4" w:rsidRPr="006A395E" w:rsidRDefault="00AB39F4" w:rsidP="00913AA5">
      <w:pPr>
        <w:pStyle w:val="Heading3"/>
      </w:pPr>
      <w:r w:rsidRPr="006A395E">
        <w:t>Office of the Inspector-General Emergency Management</w:t>
      </w:r>
    </w:p>
    <w:p w14:paraId="180DCC85" w14:textId="77777777" w:rsidR="00AB39F4" w:rsidRPr="006A395E" w:rsidRDefault="00AB39F4" w:rsidP="0066304E">
      <w:pPr>
        <w:ind w:left="-142"/>
      </w:pPr>
      <w:r w:rsidRPr="006A395E">
        <w:t>The Office of the IGEM was formally established as a public service office on 1 July 2014</w:t>
      </w:r>
      <w:r w:rsidRPr="006A395E">
        <w:rPr>
          <w:spacing w:val="-27"/>
        </w:rPr>
        <w:t xml:space="preserve"> </w:t>
      </w:r>
      <w:r w:rsidRPr="006A395E">
        <w:t>under</w:t>
      </w:r>
      <w:r w:rsidRPr="006A395E">
        <w:rPr>
          <w:spacing w:val="-1"/>
        </w:rPr>
        <w:t xml:space="preserve"> </w:t>
      </w:r>
      <w:r w:rsidRPr="006A395E">
        <w:t xml:space="preserve">amendments to the </w:t>
      </w:r>
      <w:r w:rsidRPr="006A395E">
        <w:rPr>
          <w:i/>
        </w:rPr>
        <w:t>Disaster Management Act 2003</w:t>
      </w:r>
      <w:r w:rsidRPr="006A395E">
        <w:t>. The Office of the IGEM provides</w:t>
      </w:r>
      <w:r w:rsidRPr="006A395E">
        <w:rPr>
          <w:spacing w:val="-35"/>
        </w:rPr>
        <w:t xml:space="preserve"> </w:t>
      </w:r>
      <w:r w:rsidRPr="006A395E">
        <w:t>independent</w:t>
      </w:r>
      <w:r w:rsidRPr="006A395E">
        <w:rPr>
          <w:spacing w:val="-1"/>
        </w:rPr>
        <w:t xml:space="preserve"> </w:t>
      </w:r>
      <w:r w:rsidRPr="006A395E">
        <w:t>assurance and advice to enable confidence in Queensland’s emergency</w:t>
      </w:r>
      <w:r w:rsidRPr="006A395E">
        <w:rPr>
          <w:spacing w:val="-15"/>
        </w:rPr>
        <w:t xml:space="preserve"> </w:t>
      </w:r>
      <w:r w:rsidRPr="006A395E">
        <w:t>management</w:t>
      </w:r>
      <w:r w:rsidRPr="006A395E">
        <w:rPr>
          <w:spacing w:val="-1"/>
        </w:rPr>
        <w:t xml:space="preserve"> </w:t>
      </w:r>
      <w:r w:rsidRPr="006A395E">
        <w:t xml:space="preserve">arrangements. </w:t>
      </w:r>
    </w:p>
    <w:p w14:paraId="646BCBE0" w14:textId="77777777" w:rsidR="00AB39F4" w:rsidRPr="006A395E" w:rsidRDefault="00AB39F4" w:rsidP="00913AA5">
      <w:pPr>
        <w:pStyle w:val="Heading3"/>
      </w:pPr>
      <w:r w:rsidRPr="006A395E">
        <w:br w:type="page"/>
      </w:r>
      <w:r w:rsidRPr="006A395E">
        <w:lastRenderedPageBreak/>
        <w:t>Public Safety Business Agency</w:t>
      </w:r>
    </w:p>
    <w:p w14:paraId="16794E1C" w14:textId="77777777" w:rsidR="00AB39F4" w:rsidRPr="006A395E" w:rsidRDefault="00AB39F4" w:rsidP="0066304E">
      <w:pPr>
        <w:ind w:left="-142"/>
      </w:pPr>
      <w:r w:rsidRPr="006A395E">
        <w:t xml:space="preserve">PSBA was established on 1 November 2013 under the </w:t>
      </w:r>
      <w:r w:rsidRPr="006A395E">
        <w:rPr>
          <w:i/>
        </w:rPr>
        <w:t xml:space="preserve">Public Service Act 2008 </w:t>
      </w:r>
      <w:r w:rsidRPr="002120FA">
        <w:rPr>
          <w:rFonts w:eastAsia="Arial"/>
        </w:rPr>
        <w:t>with the renaming of</w:t>
      </w:r>
      <w:r w:rsidRPr="006A395E">
        <w:rPr>
          <w:spacing w:val="-3"/>
        </w:rPr>
        <w:t xml:space="preserve"> </w:t>
      </w:r>
      <w:r w:rsidRPr="006A395E">
        <w:t>the Department of Community Safety (</w:t>
      </w:r>
      <w:r w:rsidRPr="006A395E">
        <w:rPr>
          <w:i/>
        </w:rPr>
        <w:t>Public Service Departmental Arrangements Notice</w:t>
      </w:r>
      <w:r w:rsidRPr="006A395E">
        <w:rPr>
          <w:i/>
          <w:spacing w:val="-23"/>
        </w:rPr>
        <w:t xml:space="preserve"> </w:t>
      </w:r>
      <w:r w:rsidRPr="006A395E">
        <w:rPr>
          <w:i/>
        </w:rPr>
        <w:t>(No.8)</w:t>
      </w:r>
      <w:r w:rsidRPr="006A395E">
        <w:rPr>
          <w:i/>
          <w:spacing w:val="-3"/>
        </w:rPr>
        <w:t xml:space="preserve"> </w:t>
      </w:r>
      <w:r w:rsidRPr="006A395E">
        <w:rPr>
          <w:i/>
        </w:rPr>
        <w:t>2013)</w:t>
      </w:r>
      <w:r w:rsidRPr="006A395E">
        <w:t xml:space="preserve">. On 21 May 2014, with the assent of the </w:t>
      </w:r>
      <w:r w:rsidRPr="006A395E">
        <w:rPr>
          <w:i/>
        </w:rPr>
        <w:t>Public Safety Business Agency Act 2014</w:t>
      </w:r>
      <w:r w:rsidRPr="006A395E">
        <w:t xml:space="preserve">, </w:t>
      </w:r>
      <w:r w:rsidRPr="002120FA">
        <w:rPr>
          <w:rFonts w:eastAsia="Arial"/>
        </w:rPr>
        <w:t>PSBA was</w:t>
      </w:r>
      <w:r w:rsidRPr="006A395E">
        <w:t xml:space="preserve"> established as a public service</w:t>
      </w:r>
      <w:r w:rsidRPr="006A395E">
        <w:rPr>
          <w:spacing w:val="-10"/>
        </w:rPr>
        <w:t xml:space="preserve"> </w:t>
      </w:r>
      <w:r w:rsidRPr="006A395E">
        <w:t>office.</w:t>
      </w:r>
    </w:p>
    <w:p w14:paraId="46B633B5" w14:textId="77777777" w:rsidR="00AB39F4" w:rsidRPr="006A395E" w:rsidRDefault="00AB39F4" w:rsidP="0066304E">
      <w:pPr>
        <w:ind w:left="-142"/>
        <w:rPr>
          <w:rFonts w:eastAsia="Arial"/>
        </w:rPr>
      </w:pPr>
      <w:r w:rsidRPr="006A395E">
        <w:rPr>
          <w:rFonts w:eastAsia="Arial"/>
        </w:rPr>
        <w:t xml:space="preserve">In 2015, an independent review of the PSBA was undertaken by the Public Service Commission. The review considered the scope, function and structure of the PSBA to ensure it effectively supported public safety service delivery to the community. In line with the review recommendations, a number of functions transitioned to QFES and the QPS commencing 1 July 2016. In addition, under the </w:t>
      </w:r>
      <w:r w:rsidRPr="006A395E">
        <w:rPr>
          <w:rFonts w:eastAsia="Arial"/>
          <w:i/>
        </w:rPr>
        <w:t>Public Safety Business Agency and Other Legislation Amendment Act 2016</w:t>
      </w:r>
      <w:r w:rsidRPr="006A395E">
        <w:rPr>
          <w:rFonts w:eastAsia="Arial"/>
        </w:rPr>
        <w:t>, the role of the PSBA Chief Executive Officer changed to the PSBA Chief Operating Officer, Blue Card Services transitioned to the Department of Justice and Attorney-General, State Government Security transitioned to the QPS, and the PSBA Board of Management was established.</w:t>
      </w:r>
    </w:p>
    <w:p w14:paraId="56EA6EAF" w14:textId="77777777" w:rsidR="00AB39F4" w:rsidRPr="006A395E" w:rsidRDefault="00AB39F4" w:rsidP="0066304E">
      <w:pPr>
        <w:pStyle w:val="BodyText"/>
        <w:ind w:left="-142"/>
        <w:rPr>
          <w:szCs w:val="22"/>
        </w:rPr>
      </w:pPr>
      <w:r w:rsidRPr="006A395E">
        <w:rPr>
          <w:szCs w:val="22"/>
        </w:rPr>
        <w:t>The PSBA’s core responsibilities are to provide professional information and communications technology (ICT), financial, procurement, asset management and human resource services to the Office of the IGEM, QFES and QPS. The PSBA also provides ICT services to the Queensland Ambulance Service. In addition, the PSBA incorporates and provides government air services and Commonwealth Games business support.</w:t>
      </w:r>
    </w:p>
    <w:p w14:paraId="7AA517CC" w14:textId="77777777" w:rsidR="00AB39F4" w:rsidRPr="006A395E" w:rsidRDefault="00AB39F4" w:rsidP="0066304E">
      <w:pPr>
        <w:ind w:left="-142"/>
        <w:rPr>
          <w:rFonts w:eastAsia="Times New Roman"/>
          <w:color w:val="000000"/>
          <w:lang w:eastAsia="en-AU"/>
        </w:rPr>
      </w:pPr>
      <w:r w:rsidRPr="006A395E">
        <w:rPr>
          <w:rFonts w:eastAsia="Times New Roman"/>
          <w:color w:val="000000"/>
          <w:lang w:eastAsia="en-AU"/>
        </w:rPr>
        <w:t>The PSBA is governed by the PSBA Board of Management, which</w:t>
      </w:r>
      <w:r>
        <w:rPr>
          <w:rFonts w:eastAsia="Times New Roman"/>
          <w:color w:val="000000"/>
          <w:lang w:eastAsia="en-AU"/>
        </w:rPr>
        <w:t xml:space="preserve"> was formally established on 15 </w:t>
      </w:r>
      <w:r w:rsidRPr="006A395E">
        <w:rPr>
          <w:rFonts w:eastAsia="Times New Roman"/>
          <w:color w:val="000000"/>
          <w:lang w:eastAsia="en-AU"/>
        </w:rPr>
        <w:t>September 2016. The Board currently comprises the</w:t>
      </w:r>
      <w:r>
        <w:rPr>
          <w:rFonts w:eastAsia="Times New Roman"/>
          <w:color w:val="000000"/>
          <w:lang w:eastAsia="en-AU"/>
        </w:rPr>
        <w:t xml:space="preserve"> QPS Commissioner </w:t>
      </w:r>
      <w:r w:rsidRPr="002120FA">
        <w:rPr>
          <w:rFonts w:eastAsia="Times New Roman"/>
          <w:color w:val="000000"/>
          <w:lang w:eastAsia="en-AU"/>
        </w:rPr>
        <w:t>Ian Stewart</w:t>
      </w:r>
      <w:r w:rsidRPr="006A395E">
        <w:rPr>
          <w:rFonts w:eastAsia="Times New Roman"/>
          <w:color w:val="000000"/>
          <w:lang w:eastAsia="en-AU"/>
        </w:rPr>
        <w:t xml:space="preserve"> (Chair), QFES Commissioner Katarina Carroll and an a</w:t>
      </w:r>
      <w:r>
        <w:rPr>
          <w:rFonts w:eastAsia="Times New Roman"/>
          <w:color w:val="000000"/>
          <w:lang w:eastAsia="en-AU"/>
        </w:rPr>
        <w:t>ppointed external member, Geoff </w:t>
      </w:r>
      <w:r w:rsidRPr="006A395E">
        <w:rPr>
          <w:rFonts w:eastAsia="Times New Roman"/>
          <w:color w:val="000000"/>
          <w:lang w:eastAsia="en-AU"/>
        </w:rPr>
        <w:t xml:space="preserve">Waite, </w:t>
      </w:r>
      <w:r>
        <w:rPr>
          <w:rFonts w:eastAsia="Times New Roman"/>
          <w:color w:val="000000"/>
          <w:lang w:eastAsia="en-AU"/>
        </w:rPr>
        <w:t>Executive General Manager, Risk and Intelligence</w:t>
      </w:r>
      <w:r w:rsidRPr="006A395E">
        <w:rPr>
          <w:rFonts w:eastAsia="Times New Roman"/>
          <w:color w:val="000000"/>
          <w:lang w:eastAsia="en-AU"/>
        </w:rPr>
        <w:t>, Queensland Treasury.</w:t>
      </w:r>
    </w:p>
    <w:p w14:paraId="2A8EE05A" w14:textId="77777777" w:rsidR="00AB39F4" w:rsidRPr="006A395E" w:rsidRDefault="00AB39F4" w:rsidP="0066304E">
      <w:pPr>
        <w:ind w:left="-142"/>
        <w:rPr>
          <w:rFonts w:eastAsia="Times New Roman"/>
          <w:color w:val="000000"/>
          <w:lang w:eastAsia="en-AU"/>
        </w:rPr>
      </w:pPr>
      <w:r w:rsidRPr="006A395E">
        <w:rPr>
          <w:rFonts w:eastAsia="Times New Roman"/>
          <w:color w:val="000000"/>
          <w:lang w:eastAsia="en-AU"/>
        </w:rPr>
        <w:t>The Board’s functions include providing leadership and oversight of the PSBA. The Chair of the Board, working with the Board members, is the head of the agency and is supported by the Chief Operating Officer, whose role is to help the Board perform its functions and be responsible for the day-to-day operations of the PSBA. The Chief Operating Officer reports to the Board and must give effect to any direction of the Board.</w:t>
      </w:r>
    </w:p>
    <w:p w14:paraId="46419E42" w14:textId="77777777" w:rsidR="00AB39F4" w:rsidRPr="006A395E" w:rsidRDefault="00AB39F4" w:rsidP="00913AA5">
      <w:pPr>
        <w:pStyle w:val="Heading3"/>
      </w:pPr>
      <w:r w:rsidRPr="006A395E">
        <w:t>Queensland Fire and Emergency Services</w:t>
      </w:r>
    </w:p>
    <w:p w14:paraId="5E612157" w14:textId="2C15D22C" w:rsidR="00AB39F4" w:rsidRPr="006A395E" w:rsidRDefault="00AB39F4" w:rsidP="0066304E">
      <w:pPr>
        <w:ind w:left="-142"/>
      </w:pPr>
      <w:r w:rsidRPr="006A395E">
        <w:t xml:space="preserve">QFES was established as a department on 1 November 2013 under the </w:t>
      </w:r>
      <w:r w:rsidRPr="006A395E">
        <w:rPr>
          <w:i/>
        </w:rPr>
        <w:t>Public Service Act</w:t>
      </w:r>
      <w:r w:rsidRPr="006A395E">
        <w:rPr>
          <w:i/>
          <w:spacing w:val="-25"/>
        </w:rPr>
        <w:t> </w:t>
      </w:r>
      <w:r w:rsidRPr="006A395E">
        <w:rPr>
          <w:i/>
        </w:rPr>
        <w:t>2008</w:t>
      </w:r>
      <w:r w:rsidRPr="006A395E">
        <w:rPr>
          <w:i/>
          <w:spacing w:val="-1"/>
        </w:rPr>
        <w:t xml:space="preserve"> </w:t>
      </w:r>
      <w:r w:rsidRPr="006A395E">
        <w:t>(</w:t>
      </w:r>
      <w:r w:rsidRPr="006A395E">
        <w:rPr>
          <w:i/>
        </w:rPr>
        <w:t xml:space="preserve">Public Service Departmental Arrangements Notice (No. 8) 2013). </w:t>
      </w:r>
      <w:r w:rsidRPr="006A395E">
        <w:t>QFES is the primary provider</w:t>
      </w:r>
      <w:r w:rsidRPr="006A395E">
        <w:rPr>
          <w:spacing w:val="-33"/>
        </w:rPr>
        <w:t xml:space="preserve"> </w:t>
      </w:r>
      <w:r w:rsidRPr="006A395E">
        <w:t>of fire and rescue</w:t>
      </w:r>
      <w:r>
        <w:t xml:space="preserve"> and emergency management programs and services throughout Queensland. QFES encompasses </w:t>
      </w:r>
      <w:r w:rsidR="00C7007B">
        <w:t>the Fire and Rescue Service</w:t>
      </w:r>
      <w:r>
        <w:t>, disaster management services,</w:t>
      </w:r>
      <w:r w:rsidRPr="006A395E">
        <w:t xml:space="preserve"> the Rural Fire</w:t>
      </w:r>
      <w:r w:rsidRPr="006A395E">
        <w:rPr>
          <w:spacing w:val="-14"/>
        </w:rPr>
        <w:t xml:space="preserve"> </w:t>
      </w:r>
      <w:r w:rsidRPr="006A395E">
        <w:t xml:space="preserve">Service (RFS) and the State Emergency Service (SES). Through </w:t>
      </w:r>
      <w:r>
        <w:t>s</w:t>
      </w:r>
      <w:r w:rsidRPr="006A395E">
        <w:t xml:space="preserve">ervice </w:t>
      </w:r>
      <w:r>
        <w:t>ag</w:t>
      </w:r>
      <w:r w:rsidRPr="006A395E">
        <w:t>reements, QFES</w:t>
      </w:r>
      <w:r w:rsidRPr="006A395E">
        <w:rPr>
          <w:spacing w:val="-27"/>
        </w:rPr>
        <w:t xml:space="preserve"> </w:t>
      </w:r>
      <w:r w:rsidRPr="006A395E">
        <w:t>also supports other emergency response volunteer organisations/agencies including Surf Life</w:t>
      </w:r>
      <w:r w:rsidRPr="006A395E">
        <w:rPr>
          <w:spacing w:val="-22"/>
        </w:rPr>
        <w:t xml:space="preserve"> </w:t>
      </w:r>
      <w:r w:rsidRPr="006A395E">
        <w:t>Saving</w:t>
      </w:r>
      <w:r w:rsidRPr="006A395E">
        <w:rPr>
          <w:spacing w:val="-1"/>
        </w:rPr>
        <w:t xml:space="preserve"> </w:t>
      </w:r>
      <w:r w:rsidR="0078441E">
        <w:t>Queensland</w:t>
      </w:r>
      <w:r w:rsidRPr="006A395E">
        <w:t>, Royal Life S</w:t>
      </w:r>
      <w:r w:rsidR="0078441E">
        <w:t>aving Society Queensland</w:t>
      </w:r>
      <w:r w:rsidRPr="006A395E">
        <w:t xml:space="preserve">, </w:t>
      </w:r>
      <w:r w:rsidRPr="006A395E">
        <w:rPr>
          <w:rFonts w:eastAsia="Cambria"/>
        </w:rPr>
        <w:t>Australian Volunteer Coast Guard Association, Volunteer Marine Rescue Association</w:t>
      </w:r>
      <w:r w:rsidRPr="006A395E">
        <w:rPr>
          <w:spacing w:val="-18"/>
        </w:rPr>
        <w:t xml:space="preserve"> </w:t>
      </w:r>
      <w:r w:rsidRPr="006A395E">
        <w:t>Queensland and the Po</w:t>
      </w:r>
      <w:r w:rsidR="0078441E">
        <w:t>lice</w:t>
      </w:r>
      <w:r w:rsidR="0078441E">
        <w:noBreakHyphen/>
        <w:t>Citizens Youth Club</w:t>
      </w:r>
      <w:r w:rsidRPr="006A395E">
        <w:t xml:space="preserve"> </w:t>
      </w:r>
      <w:r>
        <w:t xml:space="preserve">Emergency Services </w:t>
      </w:r>
      <w:r w:rsidRPr="006A395E">
        <w:t>Cadets.</w:t>
      </w:r>
    </w:p>
    <w:p w14:paraId="4F48FEDD" w14:textId="0188B1BB" w:rsidR="00AB39F4" w:rsidRPr="006A395E" w:rsidRDefault="00AB39F4" w:rsidP="0066304E">
      <w:pPr>
        <w:pStyle w:val="BodyText"/>
        <w:ind w:left="-142" w:hanging="1"/>
        <w:rPr>
          <w:szCs w:val="22"/>
        </w:rPr>
      </w:pPr>
      <w:r w:rsidRPr="006A395E">
        <w:rPr>
          <w:szCs w:val="22"/>
        </w:rPr>
        <w:t>It is the role of QFES to provide leadership</w:t>
      </w:r>
      <w:r>
        <w:rPr>
          <w:szCs w:val="22"/>
        </w:rPr>
        <w:t xml:space="preserve"> and </w:t>
      </w:r>
      <w:r w:rsidRPr="006A395E">
        <w:rPr>
          <w:szCs w:val="22"/>
        </w:rPr>
        <w:t>services to</w:t>
      </w:r>
      <w:r w:rsidRPr="006A395E">
        <w:rPr>
          <w:spacing w:val="-23"/>
          <w:szCs w:val="22"/>
        </w:rPr>
        <w:t xml:space="preserve"> </w:t>
      </w:r>
      <w:r w:rsidRPr="006A395E">
        <w:rPr>
          <w:szCs w:val="22"/>
        </w:rPr>
        <w:t>the</w:t>
      </w:r>
      <w:r w:rsidRPr="006A395E">
        <w:rPr>
          <w:spacing w:val="-1"/>
          <w:szCs w:val="22"/>
        </w:rPr>
        <w:t xml:space="preserve"> </w:t>
      </w:r>
      <w:r w:rsidRPr="006A395E">
        <w:rPr>
          <w:szCs w:val="22"/>
        </w:rPr>
        <w:t>community</w:t>
      </w:r>
      <w:r>
        <w:rPr>
          <w:szCs w:val="22"/>
        </w:rPr>
        <w:t xml:space="preserve"> across prevention, preparedness, response and recovery</w:t>
      </w:r>
      <w:r w:rsidR="00C7007B">
        <w:rPr>
          <w:szCs w:val="22"/>
        </w:rPr>
        <w:t xml:space="preserve">. QFES </w:t>
      </w:r>
      <w:r w:rsidRPr="006A395E">
        <w:rPr>
          <w:szCs w:val="22"/>
        </w:rPr>
        <w:t>protect</w:t>
      </w:r>
      <w:r w:rsidR="00C7007B">
        <w:rPr>
          <w:szCs w:val="22"/>
        </w:rPr>
        <w:t>s</w:t>
      </w:r>
      <w:r w:rsidRPr="006A395E">
        <w:rPr>
          <w:szCs w:val="22"/>
        </w:rPr>
        <w:t xml:space="preserve"> pe</w:t>
      </w:r>
      <w:r w:rsidR="00C7007B">
        <w:rPr>
          <w:szCs w:val="22"/>
        </w:rPr>
        <w:t>ople</w:t>
      </w:r>
      <w:r w:rsidRPr="006A395E">
        <w:rPr>
          <w:szCs w:val="22"/>
        </w:rPr>
        <w:t>, property and the environment through the</w:t>
      </w:r>
      <w:r w:rsidRPr="006A395E">
        <w:rPr>
          <w:spacing w:val="-25"/>
          <w:szCs w:val="22"/>
        </w:rPr>
        <w:t xml:space="preserve"> </w:t>
      </w:r>
      <w:r w:rsidRPr="006A395E">
        <w:rPr>
          <w:szCs w:val="22"/>
        </w:rPr>
        <w:t>delivery of emergency services, awareness programs, response capability and capacity, and</w:t>
      </w:r>
      <w:r w:rsidRPr="006A395E">
        <w:rPr>
          <w:spacing w:val="-36"/>
          <w:szCs w:val="22"/>
        </w:rPr>
        <w:t xml:space="preserve"> </w:t>
      </w:r>
      <w:r w:rsidRPr="006A395E">
        <w:rPr>
          <w:szCs w:val="22"/>
        </w:rPr>
        <w:t>incident</w:t>
      </w:r>
      <w:r w:rsidRPr="006A395E">
        <w:rPr>
          <w:spacing w:val="-1"/>
          <w:szCs w:val="22"/>
        </w:rPr>
        <w:t xml:space="preserve"> </w:t>
      </w:r>
      <w:r w:rsidRPr="006A395E">
        <w:rPr>
          <w:szCs w:val="22"/>
        </w:rPr>
        <w:t xml:space="preserve">response and recovery for a safer Queensland. </w:t>
      </w:r>
    </w:p>
    <w:p w14:paraId="518A6E79" w14:textId="77777777" w:rsidR="00AB39F4" w:rsidRDefault="00AB39F4">
      <w:pPr>
        <w:rPr>
          <w:rFonts w:eastAsia="Calibri"/>
          <w:b/>
          <w:bCs/>
          <w:szCs w:val="22"/>
          <w14:ligatures w14:val="standardContextual"/>
        </w:rPr>
      </w:pPr>
      <w:r>
        <w:rPr>
          <w:szCs w:val="22"/>
        </w:rPr>
        <w:br w:type="page"/>
      </w:r>
    </w:p>
    <w:p w14:paraId="3E665294" w14:textId="57E04380" w:rsidR="00AB39F4" w:rsidRPr="006A395E" w:rsidRDefault="00AB39F4" w:rsidP="00913AA5">
      <w:pPr>
        <w:pStyle w:val="Heading3"/>
      </w:pPr>
      <w:r w:rsidRPr="006A395E">
        <w:lastRenderedPageBreak/>
        <w:t>Queensland Police Service</w:t>
      </w:r>
    </w:p>
    <w:p w14:paraId="767ADFFD" w14:textId="77777777" w:rsidR="00AB39F4" w:rsidRPr="006A395E" w:rsidRDefault="00AB39F4" w:rsidP="0066304E">
      <w:pPr>
        <w:ind w:left="-142"/>
      </w:pPr>
      <w:r w:rsidRPr="006A395E">
        <w:t xml:space="preserve">The Police Department was established by the </w:t>
      </w:r>
      <w:r w:rsidRPr="006A395E">
        <w:rPr>
          <w:i/>
        </w:rPr>
        <w:t xml:space="preserve">Police Act of 1863 </w:t>
      </w:r>
      <w:r w:rsidRPr="006A395E">
        <w:t>which took effect</w:t>
      </w:r>
      <w:r w:rsidRPr="006A395E">
        <w:rPr>
          <w:spacing w:val="-30"/>
        </w:rPr>
        <w:t xml:space="preserve"> </w:t>
      </w:r>
      <w:r w:rsidRPr="006A395E">
        <w:t>on 1 </w:t>
      </w:r>
      <w:r w:rsidRPr="007F51C2">
        <w:t xml:space="preserve">January 1864. Under the </w:t>
      </w:r>
      <w:r w:rsidRPr="007F51C2">
        <w:rPr>
          <w:i/>
        </w:rPr>
        <w:t>Police Service Administration Act 1990</w:t>
      </w:r>
      <w:r w:rsidRPr="007F51C2">
        <w:t xml:space="preserve">, the Queensland Police Force became the </w:t>
      </w:r>
      <w:r>
        <w:t>QPS</w:t>
      </w:r>
      <w:r w:rsidRPr="007F51C2">
        <w:t xml:space="preserve">. </w:t>
      </w:r>
      <w:r w:rsidRPr="006A395E">
        <w:t>The QPS works with the community to stop crime and make Queensland</w:t>
      </w:r>
      <w:r w:rsidRPr="006A395E">
        <w:rPr>
          <w:spacing w:val="-27"/>
        </w:rPr>
        <w:t xml:space="preserve"> </w:t>
      </w:r>
      <w:r w:rsidRPr="006A395E">
        <w:t>safer. The QPS is responsible for service delivery 24 hours a day, seven days a week, focused</w:t>
      </w:r>
      <w:r w:rsidRPr="006A395E">
        <w:rPr>
          <w:spacing w:val="-21"/>
        </w:rPr>
        <w:t xml:space="preserve"> </w:t>
      </w:r>
      <w:r w:rsidRPr="006A395E">
        <w:t>on</w:t>
      </w:r>
      <w:r w:rsidRPr="006A395E">
        <w:rPr>
          <w:spacing w:val="-1"/>
        </w:rPr>
        <w:t xml:space="preserve"> </w:t>
      </w:r>
      <w:r w:rsidRPr="006A395E">
        <w:t>preserving peace and good order, protecting the community, preventing and detecting</w:t>
      </w:r>
      <w:r w:rsidRPr="006A395E">
        <w:rPr>
          <w:spacing w:val="-21"/>
        </w:rPr>
        <w:t xml:space="preserve"> </w:t>
      </w:r>
      <w:r w:rsidRPr="006A395E">
        <w:t>crime,</w:t>
      </w:r>
      <w:r w:rsidRPr="006A395E">
        <w:rPr>
          <w:spacing w:val="-1"/>
        </w:rPr>
        <w:t xml:space="preserve"> </w:t>
      </w:r>
      <w:r w:rsidRPr="006A395E">
        <w:t>administering the law fairly and efficiently, and bringing offenders to justice. This is achieved</w:t>
      </w:r>
      <w:r w:rsidRPr="006A395E">
        <w:rPr>
          <w:spacing w:val="-25"/>
        </w:rPr>
        <w:t xml:space="preserve"> </w:t>
      </w:r>
      <w:r w:rsidRPr="006A395E">
        <w:t>by</w:t>
      </w:r>
      <w:r w:rsidRPr="006A395E">
        <w:rPr>
          <w:spacing w:val="-1"/>
        </w:rPr>
        <w:t xml:space="preserve"> </w:t>
      </w:r>
      <w:r w:rsidRPr="006A395E">
        <w:t>using technology and innovative strategies to enable a mobile, flexible and agile delivery of</w:t>
      </w:r>
      <w:r w:rsidRPr="006A395E">
        <w:rPr>
          <w:spacing w:val="-37"/>
        </w:rPr>
        <w:t xml:space="preserve"> </w:t>
      </w:r>
      <w:r w:rsidRPr="006A395E">
        <w:t>services</w:t>
      </w:r>
      <w:r w:rsidRPr="006A395E">
        <w:rPr>
          <w:spacing w:val="-1"/>
        </w:rPr>
        <w:t xml:space="preserve"> </w:t>
      </w:r>
      <w:r w:rsidRPr="006A395E">
        <w:t xml:space="preserve">to address community needs. </w:t>
      </w:r>
    </w:p>
    <w:p w14:paraId="3DC984BC" w14:textId="77777777" w:rsidR="00AB39F4" w:rsidRDefault="00AB39F4">
      <w:pPr>
        <w:rPr>
          <w:rFonts w:ascii="Arial Bold" w:eastAsia="Times New Roman" w:hAnsi="Arial Bold"/>
          <w:b/>
          <w:i/>
          <w:color w:val="AB054C"/>
          <w:sz w:val="36"/>
          <w14:ligatures w14:val="standardContextual"/>
        </w:rPr>
      </w:pPr>
      <w:bookmarkStart w:id="47" w:name="_Toc446075105"/>
      <w:bookmarkStart w:id="48" w:name="_Toc462293958"/>
      <w:r>
        <w:br w:type="page"/>
      </w:r>
    </w:p>
    <w:p w14:paraId="62EFE026" w14:textId="1BA9024A" w:rsidR="00AB39F4" w:rsidRPr="00341581" w:rsidRDefault="00AB39F4" w:rsidP="007703EB">
      <w:pPr>
        <w:pStyle w:val="Heading2"/>
      </w:pPr>
      <w:bookmarkStart w:id="49" w:name="_Toc492622945"/>
      <w:r w:rsidRPr="00341581">
        <w:lastRenderedPageBreak/>
        <w:t>L</w:t>
      </w:r>
      <w:r>
        <w:t>egislation administered by the p</w:t>
      </w:r>
      <w:r w:rsidRPr="00341581">
        <w:t>ortfolio</w:t>
      </w:r>
      <w:bookmarkEnd w:id="47"/>
      <w:bookmarkEnd w:id="48"/>
      <w:bookmarkEnd w:id="49"/>
    </w:p>
    <w:p w14:paraId="2776F9BB" w14:textId="77777777" w:rsidR="00AB39F4" w:rsidRPr="006A395E" w:rsidRDefault="00AB39F4" w:rsidP="0066304E">
      <w:pPr>
        <w:ind w:left="-142"/>
      </w:pPr>
      <w:r w:rsidRPr="006A395E">
        <w:t xml:space="preserve">In accordance with </w:t>
      </w:r>
      <w:r w:rsidRPr="006A395E">
        <w:rPr>
          <w:i/>
        </w:rPr>
        <w:t>Administrative Arrangements Order (No. 2) 2017</w:t>
      </w:r>
      <w:r w:rsidRPr="006A395E">
        <w:t>, the portfolio administers the following legislation:</w:t>
      </w:r>
    </w:p>
    <w:tbl>
      <w:tblPr>
        <w:tblW w:w="0" w:type="auto"/>
        <w:tblInd w:w="-142" w:type="dxa"/>
        <w:tblBorders>
          <w:top w:val="single" w:sz="4" w:space="0" w:color="FFFFFF"/>
          <w:bottom w:val="single" w:sz="4" w:space="0" w:color="FFFFFF"/>
        </w:tblBorders>
        <w:tblLook w:val="04A0" w:firstRow="1" w:lastRow="0" w:firstColumn="1" w:lastColumn="0" w:noHBand="0" w:noVBand="1"/>
      </w:tblPr>
      <w:tblGrid>
        <w:gridCol w:w="2518"/>
        <w:gridCol w:w="7263"/>
      </w:tblGrid>
      <w:tr w:rsidR="00AB39F4" w:rsidRPr="00A9131F" w14:paraId="64A2A3F1" w14:textId="77777777" w:rsidTr="0066304E">
        <w:trPr>
          <w:trHeight w:val="567"/>
        </w:trPr>
        <w:tc>
          <w:tcPr>
            <w:tcW w:w="2560" w:type="dxa"/>
            <w:tcBorders>
              <w:top w:val="nil"/>
              <w:bottom w:val="single" w:sz="4" w:space="0" w:color="AB054B"/>
            </w:tcBorders>
            <w:shd w:val="clear" w:color="auto" w:fill="AB054C"/>
          </w:tcPr>
          <w:p w14:paraId="1A57524D" w14:textId="77777777" w:rsidR="00AB39F4" w:rsidRPr="00A9131F" w:rsidRDefault="00AB39F4" w:rsidP="00D4140B">
            <w:pPr>
              <w:rPr>
                <w:rFonts w:eastAsia="Cambria"/>
                <w:b/>
                <w:bCs/>
                <w:color w:val="FFFFFF"/>
                <w:sz w:val="24"/>
              </w:rPr>
            </w:pPr>
            <w:r w:rsidRPr="00A9131F">
              <w:rPr>
                <w:rFonts w:eastAsia="Cambria"/>
                <w:b/>
                <w:bCs/>
                <w:color w:val="FFFFFF"/>
                <w:sz w:val="24"/>
              </w:rPr>
              <w:t>Agency</w:t>
            </w:r>
          </w:p>
        </w:tc>
        <w:tc>
          <w:tcPr>
            <w:tcW w:w="7412" w:type="dxa"/>
            <w:tcBorders>
              <w:top w:val="nil"/>
              <w:bottom w:val="single" w:sz="4" w:space="0" w:color="AB054B"/>
            </w:tcBorders>
            <w:shd w:val="clear" w:color="auto" w:fill="AB054C"/>
          </w:tcPr>
          <w:p w14:paraId="22FD25DF" w14:textId="77777777" w:rsidR="00AB39F4" w:rsidRPr="00A9131F" w:rsidRDefault="00AB39F4" w:rsidP="00D4140B">
            <w:pPr>
              <w:rPr>
                <w:rFonts w:eastAsia="Cambria"/>
                <w:b/>
                <w:bCs/>
                <w:color w:val="FFFFFF"/>
                <w:sz w:val="24"/>
              </w:rPr>
            </w:pPr>
            <w:r w:rsidRPr="00A9131F">
              <w:rPr>
                <w:rFonts w:eastAsia="Cambria"/>
                <w:b/>
                <w:bCs/>
                <w:color w:val="FFFFFF"/>
                <w:sz w:val="24"/>
              </w:rPr>
              <w:t>Legislation administered</w:t>
            </w:r>
          </w:p>
        </w:tc>
      </w:tr>
      <w:tr w:rsidR="00AB39F4" w:rsidRPr="00A9131F" w14:paraId="71DC3865" w14:textId="77777777" w:rsidTr="0066304E">
        <w:trPr>
          <w:trHeight w:val="529"/>
        </w:trPr>
        <w:tc>
          <w:tcPr>
            <w:tcW w:w="2560" w:type="dxa"/>
            <w:tcBorders>
              <w:top w:val="single" w:sz="4" w:space="0" w:color="AB054B"/>
              <w:bottom w:val="single" w:sz="4" w:space="0" w:color="AB054B"/>
            </w:tcBorders>
            <w:shd w:val="clear" w:color="auto" w:fill="auto"/>
          </w:tcPr>
          <w:p w14:paraId="4E783CC7" w14:textId="77777777" w:rsidR="00AB39F4" w:rsidRPr="00A9131F" w:rsidRDefault="00AB39F4" w:rsidP="00D4140B">
            <w:pPr>
              <w:rPr>
                <w:rFonts w:eastAsia="Cambria"/>
                <w:b/>
                <w:bCs/>
              </w:rPr>
            </w:pPr>
            <w:r w:rsidRPr="00A9131F">
              <w:rPr>
                <w:rFonts w:eastAsia="Cambria"/>
                <w:b/>
                <w:bCs/>
              </w:rPr>
              <w:t>PSBA</w:t>
            </w:r>
          </w:p>
        </w:tc>
        <w:tc>
          <w:tcPr>
            <w:tcW w:w="7412" w:type="dxa"/>
            <w:tcBorders>
              <w:top w:val="single" w:sz="4" w:space="0" w:color="AB054B"/>
              <w:bottom w:val="single" w:sz="4" w:space="0" w:color="AB054B"/>
            </w:tcBorders>
            <w:shd w:val="clear" w:color="auto" w:fill="auto"/>
          </w:tcPr>
          <w:p w14:paraId="75C06B2B" w14:textId="77777777" w:rsidR="00AB39F4" w:rsidRPr="00A9131F" w:rsidRDefault="00AB39F4" w:rsidP="00AB39F4">
            <w:pPr>
              <w:numPr>
                <w:ilvl w:val="0"/>
                <w:numId w:val="27"/>
              </w:numPr>
              <w:spacing w:after="0"/>
              <w:rPr>
                <w:rFonts w:eastAsia="Cambria"/>
                <w:i/>
              </w:rPr>
            </w:pPr>
            <w:r w:rsidRPr="00A9131F">
              <w:rPr>
                <w:rFonts w:eastAsia="Cambria"/>
                <w:i/>
              </w:rPr>
              <w:t>Public Safety Business Agency Act 2014</w:t>
            </w:r>
          </w:p>
        </w:tc>
      </w:tr>
      <w:tr w:rsidR="00AB39F4" w:rsidRPr="00A9131F" w14:paraId="0657A7C4" w14:textId="77777777" w:rsidTr="0066304E">
        <w:tc>
          <w:tcPr>
            <w:tcW w:w="2560" w:type="dxa"/>
            <w:tcBorders>
              <w:top w:val="single" w:sz="4" w:space="0" w:color="AB054B"/>
              <w:bottom w:val="single" w:sz="4" w:space="0" w:color="AB054B"/>
              <w:right w:val="nil"/>
            </w:tcBorders>
            <w:shd w:val="clear" w:color="auto" w:fill="auto"/>
          </w:tcPr>
          <w:p w14:paraId="286C6A90" w14:textId="77777777" w:rsidR="00AB39F4" w:rsidRPr="00A9131F" w:rsidRDefault="00AB39F4" w:rsidP="00D4140B">
            <w:pPr>
              <w:rPr>
                <w:rFonts w:eastAsia="Cambria"/>
                <w:b/>
                <w:bCs/>
              </w:rPr>
            </w:pPr>
            <w:r w:rsidRPr="00A9131F">
              <w:rPr>
                <w:rFonts w:eastAsia="Cambria"/>
                <w:b/>
                <w:bCs/>
              </w:rPr>
              <w:t>QFES</w:t>
            </w:r>
          </w:p>
        </w:tc>
        <w:tc>
          <w:tcPr>
            <w:tcW w:w="7412" w:type="dxa"/>
            <w:tcBorders>
              <w:top w:val="single" w:sz="4" w:space="0" w:color="AB054B"/>
              <w:left w:val="nil"/>
              <w:bottom w:val="single" w:sz="4" w:space="0" w:color="AB054B"/>
            </w:tcBorders>
            <w:shd w:val="clear" w:color="auto" w:fill="auto"/>
          </w:tcPr>
          <w:p w14:paraId="6240D121" w14:textId="77777777" w:rsidR="00AB39F4" w:rsidRPr="00A9131F" w:rsidRDefault="00AB39F4" w:rsidP="00AB39F4">
            <w:pPr>
              <w:numPr>
                <w:ilvl w:val="0"/>
                <w:numId w:val="27"/>
              </w:numPr>
              <w:spacing w:after="60"/>
              <w:rPr>
                <w:rFonts w:eastAsia="Cambria"/>
                <w:i/>
              </w:rPr>
            </w:pPr>
            <w:r w:rsidRPr="00A9131F">
              <w:rPr>
                <w:rFonts w:eastAsia="Cambria"/>
                <w:i/>
              </w:rPr>
              <w:t>Disaster Management Act 2003</w:t>
            </w:r>
          </w:p>
          <w:p w14:paraId="6BA3CF61" w14:textId="77777777" w:rsidR="00AB39F4" w:rsidRPr="00A9131F" w:rsidRDefault="00AB39F4" w:rsidP="00AB39F4">
            <w:pPr>
              <w:numPr>
                <w:ilvl w:val="0"/>
                <w:numId w:val="27"/>
              </w:numPr>
              <w:spacing w:before="0"/>
              <w:rPr>
                <w:rFonts w:eastAsia="Cambria"/>
                <w:i/>
              </w:rPr>
            </w:pPr>
            <w:r w:rsidRPr="00A9131F">
              <w:rPr>
                <w:rFonts w:eastAsia="Cambria"/>
                <w:i/>
              </w:rPr>
              <w:t>Fire and Emergency Services Act 1990</w:t>
            </w:r>
          </w:p>
        </w:tc>
      </w:tr>
      <w:tr w:rsidR="00AB39F4" w:rsidRPr="00A9131F" w14:paraId="7D4BB8BA" w14:textId="77777777" w:rsidTr="0066304E">
        <w:tc>
          <w:tcPr>
            <w:tcW w:w="2560" w:type="dxa"/>
            <w:tcBorders>
              <w:top w:val="single" w:sz="4" w:space="0" w:color="AB054B"/>
              <w:bottom w:val="single" w:sz="4" w:space="0" w:color="AB054B"/>
              <w:right w:val="nil"/>
            </w:tcBorders>
            <w:shd w:val="clear" w:color="auto" w:fill="auto"/>
          </w:tcPr>
          <w:p w14:paraId="6BCBB07D" w14:textId="77777777" w:rsidR="00AB39F4" w:rsidRPr="00A9131F" w:rsidRDefault="00AB39F4" w:rsidP="00D4140B">
            <w:pPr>
              <w:rPr>
                <w:rFonts w:eastAsia="Cambria"/>
                <w:b/>
                <w:bCs/>
              </w:rPr>
            </w:pPr>
            <w:r w:rsidRPr="00A9131F">
              <w:rPr>
                <w:rFonts w:eastAsia="Cambria"/>
                <w:b/>
                <w:bCs/>
              </w:rPr>
              <w:t>QPS</w:t>
            </w:r>
          </w:p>
        </w:tc>
        <w:tc>
          <w:tcPr>
            <w:tcW w:w="7412" w:type="dxa"/>
            <w:tcBorders>
              <w:top w:val="single" w:sz="4" w:space="0" w:color="AB054B"/>
              <w:left w:val="nil"/>
              <w:bottom w:val="single" w:sz="4" w:space="0" w:color="AB054B"/>
            </w:tcBorders>
            <w:shd w:val="clear" w:color="auto" w:fill="auto"/>
          </w:tcPr>
          <w:p w14:paraId="003EA4A6" w14:textId="77777777" w:rsidR="00AB39F4" w:rsidRPr="00A9131F" w:rsidRDefault="00AB39F4" w:rsidP="00AB39F4">
            <w:pPr>
              <w:numPr>
                <w:ilvl w:val="0"/>
                <w:numId w:val="27"/>
              </w:numPr>
              <w:spacing w:after="60"/>
              <w:rPr>
                <w:rFonts w:eastAsia="Cambria"/>
                <w:i/>
              </w:rPr>
            </w:pPr>
            <w:r w:rsidRPr="00A9131F">
              <w:rPr>
                <w:rFonts w:eastAsia="Cambria"/>
                <w:i/>
              </w:rPr>
              <w:t>Australian Crime Commission (Queensland) Act 2003</w:t>
            </w:r>
          </w:p>
          <w:p w14:paraId="7E3F23E1" w14:textId="77777777" w:rsidR="00AB39F4" w:rsidRPr="00A9131F" w:rsidRDefault="00AB39F4" w:rsidP="00AB39F4">
            <w:pPr>
              <w:numPr>
                <w:ilvl w:val="0"/>
                <w:numId w:val="27"/>
              </w:numPr>
              <w:spacing w:before="60" w:after="60"/>
              <w:rPr>
                <w:rFonts w:eastAsia="Cambria"/>
                <w:i/>
              </w:rPr>
            </w:pPr>
            <w:r w:rsidRPr="00A9131F">
              <w:rPr>
                <w:rFonts w:eastAsia="Cambria"/>
                <w:i/>
              </w:rPr>
              <w:t>Child Protection (Offender Prohibition Order) Act 2008</w:t>
            </w:r>
          </w:p>
          <w:p w14:paraId="57507C0E" w14:textId="77777777" w:rsidR="00AB39F4" w:rsidRPr="00A9131F" w:rsidRDefault="00AB39F4" w:rsidP="00AB39F4">
            <w:pPr>
              <w:numPr>
                <w:ilvl w:val="0"/>
                <w:numId w:val="27"/>
              </w:numPr>
              <w:spacing w:before="60" w:after="60"/>
              <w:rPr>
                <w:rFonts w:eastAsia="Cambria"/>
                <w:i/>
              </w:rPr>
            </w:pPr>
            <w:r w:rsidRPr="00A9131F">
              <w:rPr>
                <w:rFonts w:eastAsia="Cambria"/>
                <w:i/>
              </w:rPr>
              <w:t>Child Protection (Offender Reporting) Act 2004</w:t>
            </w:r>
          </w:p>
          <w:p w14:paraId="45B3FCFA" w14:textId="77777777" w:rsidR="00AB39F4" w:rsidRPr="00A9131F" w:rsidRDefault="00AB39F4" w:rsidP="00AB39F4">
            <w:pPr>
              <w:numPr>
                <w:ilvl w:val="0"/>
                <w:numId w:val="27"/>
              </w:numPr>
              <w:spacing w:before="60" w:after="60"/>
              <w:rPr>
                <w:rFonts w:eastAsia="Cambria"/>
                <w:i/>
              </w:rPr>
            </w:pPr>
            <w:r w:rsidRPr="00A9131F">
              <w:rPr>
                <w:rFonts w:eastAsia="Cambria"/>
                <w:i/>
              </w:rPr>
              <w:t>Police Powers and Responsibilities Act 2000</w:t>
            </w:r>
          </w:p>
          <w:p w14:paraId="24FCDF22" w14:textId="77777777" w:rsidR="00AB39F4" w:rsidRPr="00A9131F" w:rsidRDefault="00AB39F4" w:rsidP="00AB39F4">
            <w:pPr>
              <w:numPr>
                <w:ilvl w:val="0"/>
                <w:numId w:val="27"/>
              </w:numPr>
              <w:spacing w:before="60" w:after="60"/>
              <w:rPr>
                <w:rFonts w:eastAsia="Cambria"/>
                <w:i/>
              </w:rPr>
            </w:pPr>
            <w:r w:rsidRPr="00A9131F">
              <w:rPr>
                <w:rFonts w:eastAsia="Cambria"/>
                <w:i/>
              </w:rPr>
              <w:t>Police Service Administration Act 1990</w:t>
            </w:r>
          </w:p>
          <w:p w14:paraId="1408ECCD" w14:textId="77777777" w:rsidR="00AB39F4" w:rsidRPr="00A9131F" w:rsidRDefault="00AB39F4" w:rsidP="00AB39F4">
            <w:pPr>
              <w:numPr>
                <w:ilvl w:val="0"/>
                <w:numId w:val="27"/>
              </w:numPr>
              <w:spacing w:before="60" w:after="60"/>
              <w:rPr>
                <w:rFonts w:eastAsia="Cambria"/>
                <w:i/>
              </w:rPr>
            </w:pPr>
            <w:r w:rsidRPr="00A9131F">
              <w:rPr>
                <w:rFonts w:eastAsia="Cambria"/>
                <w:i/>
              </w:rPr>
              <w:t>Public Safety Preservation Act 1986</w:t>
            </w:r>
          </w:p>
          <w:p w14:paraId="357138F5" w14:textId="77777777" w:rsidR="00AB39F4" w:rsidRPr="00A9131F" w:rsidRDefault="00AB39F4" w:rsidP="00AB39F4">
            <w:pPr>
              <w:numPr>
                <w:ilvl w:val="0"/>
                <w:numId w:val="27"/>
              </w:numPr>
              <w:spacing w:before="60" w:after="60"/>
              <w:rPr>
                <w:rFonts w:eastAsia="Cambria"/>
                <w:i/>
              </w:rPr>
            </w:pPr>
            <w:r w:rsidRPr="00A9131F">
              <w:rPr>
                <w:rFonts w:eastAsia="Cambria"/>
                <w:i/>
              </w:rPr>
              <w:t>Queensland Police Welfare Club Act 1970</w:t>
            </w:r>
          </w:p>
          <w:p w14:paraId="53A2E997" w14:textId="77777777" w:rsidR="00AB39F4" w:rsidRPr="00A9131F" w:rsidRDefault="00AB39F4" w:rsidP="00AB39F4">
            <w:pPr>
              <w:numPr>
                <w:ilvl w:val="0"/>
                <w:numId w:val="27"/>
              </w:numPr>
              <w:spacing w:before="60" w:after="60"/>
              <w:rPr>
                <w:rFonts w:eastAsia="Cambria"/>
                <w:i/>
              </w:rPr>
            </w:pPr>
            <w:r w:rsidRPr="00A9131F">
              <w:rPr>
                <w:rFonts w:eastAsia="Cambria"/>
                <w:i/>
              </w:rPr>
              <w:t>State Buildings Protective Security Act 1983</w:t>
            </w:r>
          </w:p>
          <w:p w14:paraId="2BE836D9" w14:textId="77777777" w:rsidR="00AB39F4" w:rsidRPr="00A9131F" w:rsidRDefault="00AB39F4" w:rsidP="00AB39F4">
            <w:pPr>
              <w:numPr>
                <w:ilvl w:val="0"/>
                <w:numId w:val="27"/>
              </w:numPr>
              <w:spacing w:before="60" w:after="60"/>
              <w:rPr>
                <w:rFonts w:eastAsia="Cambria"/>
                <w:i/>
              </w:rPr>
            </w:pPr>
            <w:r w:rsidRPr="00A9131F">
              <w:rPr>
                <w:rFonts w:eastAsia="Cambria"/>
                <w:i/>
              </w:rPr>
              <w:t>Summary Offences Act 2005</w:t>
            </w:r>
          </w:p>
          <w:p w14:paraId="068CF961" w14:textId="77777777" w:rsidR="00AB39F4" w:rsidRPr="00A9131F" w:rsidRDefault="00AB39F4" w:rsidP="00AB39F4">
            <w:pPr>
              <w:numPr>
                <w:ilvl w:val="0"/>
                <w:numId w:val="27"/>
              </w:numPr>
              <w:spacing w:before="60" w:after="60"/>
              <w:rPr>
                <w:rFonts w:eastAsia="Cambria"/>
                <w:i/>
              </w:rPr>
            </w:pPr>
            <w:r w:rsidRPr="00A9131F">
              <w:rPr>
                <w:rFonts w:eastAsia="Cambria"/>
                <w:i/>
              </w:rPr>
              <w:t>Terrorism (Preventative Detention) Act 2005</w:t>
            </w:r>
          </w:p>
          <w:p w14:paraId="6947A9D8" w14:textId="77777777" w:rsidR="00AB39F4" w:rsidRPr="00A9131F" w:rsidRDefault="00AB39F4" w:rsidP="00AB39F4">
            <w:pPr>
              <w:numPr>
                <w:ilvl w:val="0"/>
                <w:numId w:val="27"/>
              </w:numPr>
              <w:spacing w:before="60"/>
              <w:rPr>
                <w:rFonts w:eastAsia="Cambria"/>
                <w:i/>
              </w:rPr>
            </w:pPr>
            <w:r w:rsidRPr="00A9131F">
              <w:rPr>
                <w:rFonts w:eastAsia="Cambria"/>
                <w:i/>
              </w:rPr>
              <w:t>Weapons Act 1990</w:t>
            </w:r>
          </w:p>
        </w:tc>
      </w:tr>
    </w:tbl>
    <w:p w14:paraId="5C553118" w14:textId="77777777" w:rsidR="00AB39F4" w:rsidRDefault="00AB39F4" w:rsidP="007703EB">
      <w:pPr>
        <w:pStyle w:val="Heading2"/>
      </w:pPr>
      <w:bookmarkStart w:id="50" w:name="_Toc446075106"/>
      <w:bookmarkStart w:id="51" w:name="_Toc462293959"/>
    </w:p>
    <w:p w14:paraId="57F21643" w14:textId="30B72EE8" w:rsidR="00AB39F4" w:rsidRDefault="00AB39F4">
      <w:pPr>
        <w:rPr>
          <w:rFonts w:ascii="Arial Bold" w:eastAsia="Times New Roman" w:hAnsi="Arial Bold"/>
          <w:b/>
          <w:i/>
          <w:color w:val="AB054C"/>
          <w:sz w:val="36"/>
          <w14:ligatures w14:val="standardContextual"/>
        </w:rPr>
      </w:pPr>
      <w:r>
        <w:br w:type="page"/>
      </w:r>
    </w:p>
    <w:p w14:paraId="5CFAC209" w14:textId="4B495942" w:rsidR="00AB39F4" w:rsidRDefault="00AB39F4" w:rsidP="007703EB">
      <w:pPr>
        <w:pStyle w:val="Heading2"/>
      </w:pPr>
      <w:bookmarkStart w:id="52" w:name="_Toc492622946"/>
      <w:r w:rsidRPr="00341581">
        <w:lastRenderedPageBreak/>
        <w:t>Machinery-of-government changes</w:t>
      </w:r>
      <w:bookmarkEnd w:id="50"/>
      <w:bookmarkEnd w:id="51"/>
      <w:bookmarkEnd w:id="52"/>
    </w:p>
    <w:p w14:paraId="1AF2C6E3" w14:textId="77777777" w:rsidR="00AB39F4" w:rsidRPr="00775B06" w:rsidRDefault="00AB39F4" w:rsidP="0066304E">
      <w:pPr>
        <w:ind w:left="-142"/>
      </w:pPr>
      <w:r w:rsidRPr="00A9131F">
        <w:rPr>
          <w:rFonts w:eastAsia="Cambria"/>
        </w:rPr>
        <w:t xml:space="preserve">As a result of the </w:t>
      </w:r>
      <w:r w:rsidRPr="00A9131F">
        <w:rPr>
          <w:rFonts w:eastAsia="Cambria"/>
          <w:i/>
        </w:rPr>
        <w:t>Review of the Public Safety Business Agency</w:t>
      </w:r>
      <w:r>
        <w:rPr>
          <w:rFonts w:eastAsia="Cambria"/>
        </w:rPr>
        <w:t xml:space="preserve"> (November </w:t>
      </w:r>
      <w:r w:rsidRPr="00A9131F">
        <w:rPr>
          <w:rFonts w:eastAsia="Cambria"/>
        </w:rPr>
        <w:t xml:space="preserve">2015), the following machinery-of-government changes occurred </w:t>
      </w:r>
      <w:r>
        <w:rPr>
          <w:rFonts w:eastAsia="Cambria"/>
        </w:rPr>
        <w:t>during 2016-17:</w:t>
      </w:r>
    </w:p>
    <w:tbl>
      <w:tblPr>
        <w:tblW w:w="10142" w:type="dxa"/>
        <w:tblInd w:w="-157" w:type="dxa"/>
        <w:tblBorders>
          <w:insideH w:val="single" w:sz="4" w:space="0" w:color="D9D9D9"/>
        </w:tblBorders>
        <w:tblLayout w:type="fixed"/>
        <w:tblCellMar>
          <w:left w:w="0" w:type="dxa"/>
          <w:right w:w="0" w:type="dxa"/>
        </w:tblCellMar>
        <w:tblLook w:val="04A0" w:firstRow="1" w:lastRow="0" w:firstColumn="1" w:lastColumn="0" w:noHBand="0" w:noVBand="1"/>
      </w:tblPr>
      <w:tblGrid>
        <w:gridCol w:w="2142"/>
        <w:gridCol w:w="8000"/>
      </w:tblGrid>
      <w:tr w:rsidR="00AB39F4" w:rsidRPr="000F3023" w14:paraId="60C842F9" w14:textId="77777777" w:rsidTr="0066304E">
        <w:trPr>
          <w:trHeight w:val="567"/>
        </w:trPr>
        <w:tc>
          <w:tcPr>
            <w:tcW w:w="2142" w:type="dxa"/>
            <w:tcBorders>
              <w:top w:val="single" w:sz="12" w:space="0" w:color="AB054C"/>
              <w:left w:val="single" w:sz="12" w:space="0" w:color="AB054C"/>
              <w:bottom w:val="nil"/>
            </w:tcBorders>
            <w:shd w:val="clear" w:color="auto" w:fill="AB054C"/>
          </w:tcPr>
          <w:p w14:paraId="6EC4B05A" w14:textId="77777777" w:rsidR="00AB39F4" w:rsidRPr="000F3023" w:rsidRDefault="00AB39F4" w:rsidP="00D4140B">
            <w:pPr>
              <w:pStyle w:val="BodyText"/>
              <w:ind w:left="157"/>
              <w:rPr>
                <w:b/>
                <w:bCs/>
                <w:color w:val="FFFFFF"/>
                <w:sz w:val="24"/>
              </w:rPr>
            </w:pPr>
            <w:r w:rsidRPr="000F3023">
              <w:rPr>
                <w:b/>
                <w:bCs/>
                <w:color w:val="FFFFFF"/>
                <w:sz w:val="24"/>
              </w:rPr>
              <w:t xml:space="preserve">Date </w:t>
            </w:r>
          </w:p>
        </w:tc>
        <w:tc>
          <w:tcPr>
            <w:tcW w:w="8000" w:type="dxa"/>
            <w:tcBorders>
              <w:top w:val="single" w:sz="12" w:space="0" w:color="AB054C"/>
              <w:bottom w:val="nil"/>
              <w:right w:val="single" w:sz="12" w:space="0" w:color="AB054C"/>
            </w:tcBorders>
            <w:shd w:val="clear" w:color="auto" w:fill="AB054C"/>
          </w:tcPr>
          <w:p w14:paraId="0AAE6E40" w14:textId="77777777" w:rsidR="00AB39F4" w:rsidRPr="000F3023" w:rsidRDefault="00AB39F4" w:rsidP="00D4140B">
            <w:pPr>
              <w:pStyle w:val="BodyText"/>
              <w:ind w:left="141"/>
              <w:rPr>
                <w:b/>
                <w:bCs/>
                <w:color w:val="FFFFFF"/>
                <w:sz w:val="24"/>
              </w:rPr>
            </w:pPr>
            <w:r w:rsidRPr="000F3023">
              <w:rPr>
                <w:b/>
                <w:bCs/>
                <w:color w:val="FFFFFF"/>
                <w:sz w:val="24"/>
              </w:rPr>
              <w:t xml:space="preserve">Changes </w:t>
            </w:r>
          </w:p>
        </w:tc>
      </w:tr>
      <w:tr w:rsidR="00AB39F4" w:rsidRPr="00A9131F" w14:paraId="64C61AE7" w14:textId="77777777" w:rsidTr="0066304E">
        <w:tc>
          <w:tcPr>
            <w:tcW w:w="2142" w:type="dxa"/>
            <w:tcBorders>
              <w:top w:val="single" w:sz="4" w:space="0" w:color="AB054C"/>
              <w:bottom w:val="single" w:sz="4" w:space="0" w:color="AB054C"/>
            </w:tcBorders>
            <w:shd w:val="clear" w:color="auto" w:fill="auto"/>
          </w:tcPr>
          <w:p w14:paraId="7DBE2D5C" w14:textId="77777777" w:rsidR="00AB39F4" w:rsidRPr="006A395E" w:rsidRDefault="00AB39F4" w:rsidP="00D4140B">
            <w:pPr>
              <w:ind w:left="112" w:right="127"/>
              <w:rPr>
                <w:b/>
              </w:rPr>
            </w:pPr>
            <w:r w:rsidRPr="006A395E">
              <w:rPr>
                <w:rFonts w:eastAsia="Cambria"/>
              </w:rPr>
              <w:t>1 July 2016</w:t>
            </w:r>
          </w:p>
        </w:tc>
        <w:tc>
          <w:tcPr>
            <w:tcW w:w="8000" w:type="dxa"/>
            <w:tcBorders>
              <w:top w:val="single" w:sz="4" w:space="0" w:color="AB054C"/>
              <w:bottom w:val="single" w:sz="4" w:space="0" w:color="AB054C"/>
            </w:tcBorders>
            <w:shd w:val="clear" w:color="auto" w:fill="auto"/>
          </w:tcPr>
          <w:p w14:paraId="03DF19A3" w14:textId="77777777" w:rsidR="00AB39F4" w:rsidRPr="006A395E" w:rsidRDefault="00AB39F4" w:rsidP="00D4140B">
            <w:pPr>
              <w:ind w:left="144"/>
              <w:rPr>
                <w:rFonts w:eastAsia="Cambria"/>
              </w:rPr>
            </w:pPr>
            <w:r w:rsidRPr="006A395E">
              <w:rPr>
                <w:rFonts w:eastAsia="Cambria"/>
              </w:rPr>
              <w:t>In accordance with the</w:t>
            </w:r>
            <w:r w:rsidRPr="006A395E">
              <w:rPr>
                <w:rFonts w:eastAsia="Cambria"/>
                <w:i/>
              </w:rPr>
              <w:t xml:space="preserve"> Public Service Departmental Arrangements Notice (No. 2) 2016</w:t>
            </w:r>
            <w:r w:rsidRPr="006A395E">
              <w:rPr>
                <w:rFonts w:eastAsia="Cambria"/>
              </w:rPr>
              <w:t>:</w:t>
            </w:r>
          </w:p>
          <w:p w14:paraId="20E73565"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PSBA Media </w:t>
            </w:r>
            <w:r>
              <w:rPr>
                <w:szCs w:val="22"/>
              </w:rPr>
              <w:t>Services</w:t>
            </w:r>
            <w:r w:rsidRPr="006A395E">
              <w:rPr>
                <w:szCs w:val="22"/>
              </w:rPr>
              <w:t xml:space="preserve"> transitioned to </w:t>
            </w:r>
            <w:r>
              <w:rPr>
                <w:szCs w:val="22"/>
              </w:rPr>
              <w:t xml:space="preserve">QFES and </w:t>
            </w:r>
            <w:r w:rsidRPr="006A395E">
              <w:rPr>
                <w:szCs w:val="22"/>
              </w:rPr>
              <w:t>QPS</w:t>
            </w:r>
          </w:p>
          <w:p w14:paraId="60F8197D" w14:textId="77777777" w:rsidR="00AB39F4" w:rsidRPr="002A0B37" w:rsidRDefault="00AB39F4" w:rsidP="00AB39F4">
            <w:pPr>
              <w:pStyle w:val="ListParagraph"/>
              <w:numPr>
                <w:ilvl w:val="0"/>
                <w:numId w:val="28"/>
              </w:numPr>
              <w:spacing w:before="60" w:after="60"/>
              <w:ind w:left="440" w:hanging="284"/>
              <w:rPr>
                <w:szCs w:val="22"/>
              </w:rPr>
            </w:pPr>
            <w:r w:rsidRPr="002A0B37">
              <w:rPr>
                <w:szCs w:val="22"/>
              </w:rPr>
              <w:t xml:space="preserve">PSBA Education and Training (including training academies) transitioned to QFES and QPS </w:t>
            </w:r>
          </w:p>
          <w:p w14:paraId="28F6BA49"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PSBA Recruitment transitioned to QFES and QPS </w:t>
            </w:r>
          </w:p>
          <w:p w14:paraId="1C554F40" w14:textId="77777777" w:rsidR="00AB39F4" w:rsidRDefault="00AB39F4" w:rsidP="00AB39F4">
            <w:pPr>
              <w:pStyle w:val="ListParagraph"/>
              <w:numPr>
                <w:ilvl w:val="0"/>
                <w:numId w:val="28"/>
              </w:numPr>
              <w:spacing w:before="60" w:after="60"/>
              <w:ind w:left="440" w:hanging="284"/>
              <w:rPr>
                <w:szCs w:val="22"/>
              </w:rPr>
            </w:pPr>
            <w:r w:rsidRPr="006A395E">
              <w:rPr>
                <w:szCs w:val="22"/>
              </w:rPr>
              <w:t xml:space="preserve">PSBA Strategy </w:t>
            </w:r>
            <w:r>
              <w:rPr>
                <w:szCs w:val="22"/>
              </w:rPr>
              <w:t xml:space="preserve">Services </w:t>
            </w:r>
            <w:r w:rsidRPr="006A395E">
              <w:rPr>
                <w:szCs w:val="22"/>
              </w:rPr>
              <w:t>transitioned to QFES and QPS</w:t>
            </w:r>
          </w:p>
          <w:p w14:paraId="0FCDFDBB" w14:textId="77777777" w:rsidR="00AB39F4" w:rsidRPr="006A395E" w:rsidRDefault="00AB39F4" w:rsidP="00AB39F4">
            <w:pPr>
              <w:pStyle w:val="ListParagraph"/>
              <w:numPr>
                <w:ilvl w:val="0"/>
                <w:numId w:val="28"/>
              </w:numPr>
              <w:spacing w:before="60" w:after="60"/>
              <w:ind w:left="440" w:hanging="284"/>
              <w:rPr>
                <w:szCs w:val="22"/>
              </w:rPr>
            </w:pPr>
            <w:r>
              <w:rPr>
                <w:szCs w:val="22"/>
              </w:rPr>
              <w:t>P</w:t>
            </w:r>
            <w:r w:rsidRPr="006A395E">
              <w:rPr>
                <w:szCs w:val="22"/>
              </w:rPr>
              <w:t xml:space="preserve">SBA Ministerial Services transitioned to QFES and QPS </w:t>
            </w:r>
          </w:p>
          <w:p w14:paraId="6C8B9A3D"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PSBA Ethical Standards transitioned to QFES </w:t>
            </w:r>
            <w:r>
              <w:rPr>
                <w:szCs w:val="22"/>
              </w:rPr>
              <w:t>and QPS</w:t>
            </w:r>
          </w:p>
          <w:p w14:paraId="42A915EA" w14:textId="77777777" w:rsidR="00AB39F4" w:rsidRDefault="00AB39F4" w:rsidP="00AB39F4">
            <w:pPr>
              <w:pStyle w:val="ListParagraph"/>
              <w:numPr>
                <w:ilvl w:val="0"/>
                <w:numId w:val="28"/>
              </w:numPr>
              <w:spacing w:before="60" w:after="60"/>
              <w:ind w:left="440" w:hanging="284"/>
              <w:rPr>
                <w:szCs w:val="22"/>
              </w:rPr>
            </w:pPr>
            <w:r w:rsidRPr="002A0B37">
              <w:rPr>
                <w:szCs w:val="22"/>
              </w:rPr>
              <w:t xml:space="preserve">PSBA Legal Services transitioned to QFES and QPS </w:t>
            </w:r>
          </w:p>
          <w:p w14:paraId="6BBA804E" w14:textId="77777777" w:rsidR="00AB39F4" w:rsidRPr="002A0B37" w:rsidRDefault="00AB39F4" w:rsidP="00AB39F4">
            <w:pPr>
              <w:pStyle w:val="ListParagraph"/>
              <w:numPr>
                <w:ilvl w:val="0"/>
                <w:numId w:val="28"/>
              </w:numPr>
              <w:spacing w:before="60" w:after="60"/>
              <w:ind w:left="440" w:hanging="284"/>
              <w:rPr>
                <w:szCs w:val="22"/>
              </w:rPr>
            </w:pPr>
            <w:r>
              <w:rPr>
                <w:szCs w:val="22"/>
              </w:rPr>
              <w:t>PSBA Cabinet Legislation Liaison transitioned to QFES and QPS</w:t>
            </w:r>
          </w:p>
          <w:p w14:paraId="6CD9296B" w14:textId="77777777" w:rsidR="00AB39F4" w:rsidRPr="002A0B37" w:rsidRDefault="00AB39F4" w:rsidP="00AB39F4">
            <w:pPr>
              <w:pStyle w:val="ListParagraph"/>
              <w:numPr>
                <w:ilvl w:val="0"/>
                <w:numId w:val="28"/>
              </w:numPr>
              <w:spacing w:before="60" w:after="60"/>
              <w:ind w:left="440" w:hanging="284"/>
              <w:rPr>
                <w:szCs w:val="22"/>
              </w:rPr>
            </w:pPr>
            <w:r w:rsidRPr="002A0B37">
              <w:rPr>
                <w:szCs w:val="22"/>
              </w:rPr>
              <w:t xml:space="preserve">PSBA Right to Information transitioned to QFES and QPS </w:t>
            </w:r>
          </w:p>
          <w:p w14:paraId="6216DC17"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PSBA </w:t>
            </w:r>
            <w:r>
              <w:rPr>
                <w:szCs w:val="22"/>
              </w:rPr>
              <w:t xml:space="preserve">Local Workplace Health and Safety transitioned </w:t>
            </w:r>
            <w:r w:rsidRPr="006A395E">
              <w:rPr>
                <w:szCs w:val="22"/>
              </w:rPr>
              <w:t xml:space="preserve">to QFES and QPS </w:t>
            </w:r>
          </w:p>
          <w:p w14:paraId="22063FB1"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PSBA </w:t>
            </w:r>
            <w:r>
              <w:rPr>
                <w:szCs w:val="22"/>
              </w:rPr>
              <w:t xml:space="preserve">Operational Functions transitioned </w:t>
            </w:r>
            <w:r w:rsidRPr="006A395E">
              <w:rPr>
                <w:szCs w:val="22"/>
              </w:rPr>
              <w:t xml:space="preserve">to </w:t>
            </w:r>
            <w:r>
              <w:rPr>
                <w:szCs w:val="22"/>
              </w:rPr>
              <w:t xml:space="preserve">QFES and </w:t>
            </w:r>
            <w:r w:rsidRPr="006A395E">
              <w:rPr>
                <w:szCs w:val="22"/>
              </w:rPr>
              <w:t>QPS</w:t>
            </w:r>
            <w:r>
              <w:rPr>
                <w:szCs w:val="22"/>
              </w:rPr>
              <w:t>.</w:t>
            </w:r>
          </w:p>
        </w:tc>
      </w:tr>
      <w:tr w:rsidR="00AB39F4" w:rsidRPr="00A9131F" w14:paraId="1A50D5F1" w14:textId="77777777" w:rsidTr="0066304E">
        <w:tc>
          <w:tcPr>
            <w:tcW w:w="2142" w:type="dxa"/>
            <w:tcBorders>
              <w:top w:val="single" w:sz="4" w:space="0" w:color="AB054C"/>
              <w:bottom w:val="single" w:sz="4" w:space="0" w:color="AB054C"/>
            </w:tcBorders>
            <w:shd w:val="clear" w:color="auto" w:fill="auto"/>
          </w:tcPr>
          <w:p w14:paraId="1F02F333" w14:textId="77777777" w:rsidR="00AB39F4" w:rsidRPr="006A395E" w:rsidRDefault="00AB39F4" w:rsidP="00D4140B">
            <w:pPr>
              <w:ind w:left="112" w:right="127"/>
              <w:rPr>
                <w:rFonts w:eastAsia="Cambria"/>
              </w:rPr>
            </w:pPr>
            <w:r w:rsidRPr="006A395E">
              <w:rPr>
                <w:rFonts w:eastAsia="Cambria"/>
              </w:rPr>
              <w:t>8 September 2016</w:t>
            </w:r>
          </w:p>
        </w:tc>
        <w:tc>
          <w:tcPr>
            <w:tcW w:w="8000" w:type="dxa"/>
            <w:tcBorders>
              <w:top w:val="single" w:sz="4" w:space="0" w:color="AB054C"/>
              <w:bottom w:val="single" w:sz="4" w:space="0" w:color="AB054C"/>
            </w:tcBorders>
            <w:shd w:val="clear" w:color="auto" w:fill="auto"/>
          </w:tcPr>
          <w:p w14:paraId="4F38B8DA" w14:textId="77777777" w:rsidR="00AB39F4" w:rsidRPr="006A395E" w:rsidRDefault="00AB39F4" w:rsidP="00D4140B">
            <w:pPr>
              <w:ind w:left="144"/>
              <w:rPr>
                <w:rFonts w:eastAsia="Cambria"/>
              </w:rPr>
            </w:pPr>
            <w:r w:rsidRPr="006A395E">
              <w:rPr>
                <w:rFonts w:eastAsia="Cambria"/>
              </w:rPr>
              <w:t>In accordance with</w:t>
            </w:r>
            <w:r w:rsidRPr="006A395E">
              <w:rPr>
                <w:rFonts w:eastAsia="Cambria"/>
                <w:i/>
              </w:rPr>
              <w:t xml:space="preserve"> Public Service Departmental Arrangements Notice (No. 4) 2016</w:t>
            </w:r>
            <w:r w:rsidRPr="006A395E">
              <w:rPr>
                <w:rFonts w:eastAsia="Cambria"/>
              </w:rPr>
              <w:t>:</w:t>
            </w:r>
          </w:p>
          <w:p w14:paraId="4E186E6B" w14:textId="77777777" w:rsidR="00AB39F4" w:rsidRPr="006A395E" w:rsidRDefault="00AB39F4" w:rsidP="00AB39F4">
            <w:pPr>
              <w:pStyle w:val="ListParagraph"/>
              <w:numPr>
                <w:ilvl w:val="0"/>
                <w:numId w:val="28"/>
              </w:numPr>
              <w:spacing w:before="60" w:after="60"/>
              <w:ind w:left="440" w:hanging="284"/>
              <w:rPr>
                <w:szCs w:val="22"/>
              </w:rPr>
            </w:pPr>
            <w:r>
              <w:rPr>
                <w:szCs w:val="22"/>
              </w:rPr>
              <w:t xml:space="preserve">Protective Services </w:t>
            </w:r>
            <w:r w:rsidRPr="006A395E">
              <w:rPr>
                <w:szCs w:val="22"/>
              </w:rPr>
              <w:t>transitioned to QPS.</w:t>
            </w:r>
          </w:p>
        </w:tc>
      </w:tr>
      <w:tr w:rsidR="00AB39F4" w:rsidRPr="00A9131F" w14:paraId="300754B5" w14:textId="77777777" w:rsidTr="0066304E">
        <w:tc>
          <w:tcPr>
            <w:tcW w:w="2142" w:type="dxa"/>
            <w:tcBorders>
              <w:top w:val="single" w:sz="4" w:space="0" w:color="AB054C"/>
              <w:bottom w:val="single" w:sz="4" w:space="0" w:color="AB054C"/>
            </w:tcBorders>
            <w:shd w:val="clear" w:color="auto" w:fill="auto"/>
          </w:tcPr>
          <w:p w14:paraId="2A2C3493" w14:textId="77777777" w:rsidR="00AB39F4" w:rsidRPr="006A395E" w:rsidRDefault="00AB39F4" w:rsidP="00D4140B">
            <w:pPr>
              <w:ind w:left="112" w:right="127"/>
              <w:rPr>
                <w:rFonts w:eastAsia="Cambria"/>
              </w:rPr>
            </w:pPr>
            <w:r w:rsidRPr="006A395E">
              <w:rPr>
                <w:rFonts w:eastAsia="Cambria"/>
              </w:rPr>
              <w:t>1 October 2016</w:t>
            </w:r>
          </w:p>
        </w:tc>
        <w:tc>
          <w:tcPr>
            <w:tcW w:w="8000" w:type="dxa"/>
            <w:tcBorders>
              <w:top w:val="single" w:sz="4" w:space="0" w:color="AB054C"/>
              <w:bottom w:val="single" w:sz="4" w:space="0" w:color="AB054C"/>
            </w:tcBorders>
            <w:shd w:val="clear" w:color="auto" w:fill="auto"/>
          </w:tcPr>
          <w:p w14:paraId="7CE9C3D0" w14:textId="77777777" w:rsidR="00AB39F4" w:rsidRPr="006A395E" w:rsidRDefault="00AB39F4" w:rsidP="00D4140B">
            <w:pPr>
              <w:ind w:left="144"/>
              <w:rPr>
                <w:rFonts w:eastAsia="Cambria"/>
              </w:rPr>
            </w:pPr>
            <w:r w:rsidRPr="006A395E">
              <w:rPr>
                <w:rFonts w:eastAsia="Cambria"/>
              </w:rPr>
              <w:t>In accordance with</w:t>
            </w:r>
            <w:r w:rsidRPr="006A395E">
              <w:rPr>
                <w:rFonts w:eastAsia="Cambria"/>
                <w:i/>
              </w:rPr>
              <w:t xml:space="preserve"> Public Service Departmental Arrangements Notice (No. 4) 2016</w:t>
            </w:r>
            <w:r w:rsidRPr="006A395E">
              <w:rPr>
                <w:rFonts w:eastAsia="Cambria"/>
              </w:rPr>
              <w:t>:</w:t>
            </w:r>
          </w:p>
          <w:p w14:paraId="2F0A0FA7" w14:textId="77777777" w:rsidR="00AB39F4" w:rsidRPr="006A395E" w:rsidRDefault="00AB39F4" w:rsidP="00AB39F4">
            <w:pPr>
              <w:pStyle w:val="ListParagraph"/>
              <w:numPr>
                <w:ilvl w:val="0"/>
                <w:numId w:val="28"/>
              </w:numPr>
              <w:spacing w:before="60" w:after="60"/>
              <w:ind w:left="440" w:hanging="284"/>
              <w:rPr>
                <w:szCs w:val="22"/>
              </w:rPr>
            </w:pPr>
            <w:r w:rsidRPr="006A395E">
              <w:rPr>
                <w:szCs w:val="22"/>
              </w:rPr>
              <w:t xml:space="preserve">Blue Card Services transitioned to the Department of Justice and Attorney-General. </w:t>
            </w:r>
          </w:p>
        </w:tc>
      </w:tr>
    </w:tbl>
    <w:p w14:paraId="3BCC1AC0" w14:textId="77777777" w:rsidR="00AB39F4" w:rsidRDefault="00AB39F4" w:rsidP="007703EB">
      <w:pPr>
        <w:pStyle w:val="Heading2"/>
      </w:pPr>
      <w:bookmarkStart w:id="53" w:name="_Toc446075107"/>
      <w:bookmarkStart w:id="54" w:name="_Toc462293960"/>
    </w:p>
    <w:p w14:paraId="2F31E0D2" w14:textId="77777777" w:rsidR="00AB39F4" w:rsidRDefault="00AB39F4">
      <w:pPr>
        <w:rPr>
          <w:rFonts w:ascii="Arial Bold" w:eastAsia="Times New Roman" w:hAnsi="Arial Bold"/>
          <w:b/>
          <w:i/>
          <w:color w:val="AB054C"/>
          <w:sz w:val="36"/>
          <w14:ligatures w14:val="standardContextual"/>
        </w:rPr>
      </w:pPr>
      <w:r>
        <w:br w:type="page"/>
      </w:r>
    </w:p>
    <w:p w14:paraId="30A0B632" w14:textId="4734529E" w:rsidR="00AB39F4" w:rsidRPr="000424FC" w:rsidRDefault="00AB39F4" w:rsidP="007703EB">
      <w:pPr>
        <w:pStyle w:val="Heading2"/>
      </w:pPr>
      <w:bookmarkStart w:id="55" w:name="_Toc492622947"/>
      <w:r w:rsidRPr="006C5ECA">
        <w:lastRenderedPageBreak/>
        <w:t xml:space="preserve">Public safety portfolio </w:t>
      </w:r>
      <w:r w:rsidR="00F76BF8">
        <w:t xml:space="preserve">audit and risk </w:t>
      </w:r>
      <w:r w:rsidRPr="006C5ECA">
        <w:t>committee</w:t>
      </w:r>
      <w:bookmarkEnd w:id="53"/>
      <w:bookmarkEnd w:id="54"/>
      <w:bookmarkEnd w:id="55"/>
    </w:p>
    <w:tbl>
      <w:tblPr>
        <w:tblW w:w="10205" w:type="dxa"/>
        <w:tblInd w:w="-284" w:type="dxa"/>
        <w:tblBorders>
          <w:top w:val="single" w:sz="4" w:space="0" w:color="FFFFFF"/>
          <w:bottom w:val="single" w:sz="4" w:space="0" w:color="FFFFFF"/>
        </w:tblBorders>
        <w:tblLook w:val="04A0" w:firstRow="1" w:lastRow="0" w:firstColumn="1" w:lastColumn="0" w:noHBand="0" w:noVBand="1"/>
      </w:tblPr>
      <w:tblGrid>
        <w:gridCol w:w="10205"/>
      </w:tblGrid>
      <w:tr w:rsidR="00AB39F4" w:rsidRPr="00A9131F" w14:paraId="2F1DEC44" w14:textId="77777777" w:rsidTr="00EB4B72">
        <w:trPr>
          <w:trHeight w:val="5108"/>
        </w:trPr>
        <w:tc>
          <w:tcPr>
            <w:tcW w:w="10205" w:type="dxa"/>
            <w:tcBorders>
              <w:top w:val="nil"/>
              <w:bottom w:val="single" w:sz="4" w:space="0" w:color="AB054C"/>
            </w:tcBorders>
            <w:shd w:val="clear" w:color="auto" w:fill="auto"/>
          </w:tcPr>
          <w:p w14:paraId="0037EADD" w14:textId="77777777" w:rsidR="00AB39F4" w:rsidRPr="006A395E" w:rsidRDefault="00AB39F4" w:rsidP="00D4140B">
            <w:pPr>
              <w:rPr>
                <w:rFonts w:eastAsia="Times New Roman"/>
                <w:b/>
                <w:bCs/>
              </w:rPr>
            </w:pPr>
            <w:r w:rsidRPr="006A395E">
              <w:rPr>
                <w:rFonts w:eastAsia="Times New Roman"/>
                <w:bCs/>
              </w:rPr>
              <w:t xml:space="preserve">The Public Safety Portfolio Audit and Risk Committee has been established under, and operates in accordance with, the terms of its charter that was developed in line with Queensland Treasury’s </w:t>
            </w:r>
            <w:r w:rsidRPr="006A395E">
              <w:rPr>
                <w:rFonts w:eastAsia="Times New Roman"/>
                <w:bCs/>
                <w:i/>
              </w:rPr>
              <w:t>Audit Committee Guidelines: Improving Accountability and Performance</w:t>
            </w:r>
            <w:r>
              <w:rPr>
                <w:rFonts w:eastAsia="Times New Roman"/>
                <w:bCs/>
                <w:i/>
              </w:rPr>
              <w:t xml:space="preserve">; </w:t>
            </w:r>
            <w:r w:rsidRPr="002E63CC">
              <w:rPr>
                <w:rFonts w:eastAsia="Times New Roman"/>
                <w:bCs/>
              </w:rPr>
              <w:t>the</w:t>
            </w:r>
            <w:r>
              <w:rPr>
                <w:rFonts w:eastAsia="Times New Roman"/>
                <w:bCs/>
                <w:i/>
              </w:rPr>
              <w:t xml:space="preserve"> Financial and Performance Management Standard 2009 </w:t>
            </w:r>
            <w:r w:rsidRPr="002E63CC">
              <w:rPr>
                <w:rFonts w:eastAsia="Times New Roman"/>
                <w:bCs/>
              </w:rPr>
              <w:t>and the</w:t>
            </w:r>
            <w:r>
              <w:rPr>
                <w:rFonts w:eastAsia="Times New Roman"/>
                <w:bCs/>
                <w:i/>
              </w:rPr>
              <w:t xml:space="preserve"> Financial Accountability Act 2009. </w:t>
            </w:r>
            <w:r w:rsidRPr="002E63CC">
              <w:rPr>
                <w:rFonts w:eastAsia="Times New Roman"/>
                <w:bCs/>
              </w:rPr>
              <w:t>The charter is reviewed annually by the committee to ensure it remains consistent with the committee’s authority, objectives and responsibilities.</w:t>
            </w:r>
          </w:p>
          <w:p w14:paraId="7C39D269" w14:textId="77777777" w:rsidR="00AB39F4" w:rsidRPr="006A395E" w:rsidRDefault="00AB39F4" w:rsidP="00D4140B">
            <w:pPr>
              <w:rPr>
                <w:rFonts w:eastAsia="Times New Roman"/>
                <w:b/>
                <w:bCs/>
              </w:rPr>
            </w:pPr>
            <w:r w:rsidRPr="006A395E">
              <w:rPr>
                <w:rFonts w:eastAsia="Times New Roman"/>
                <w:bCs/>
              </w:rPr>
              <w:t>The committee governs audit matters for the public safety portfolio agencies</w:t>
            </w:r>
            <w:r>
              <w:rPr>
                <w:rFonts w:eastAsia="Times New Roman"/>
                <w:bCs/>
              </w:rPr>
              <w:t xml:space="preserve"> and risk matters for the PSBA</w:t>
            </w:r>
            <w:r w:rsidRPr="006A395E">
              <w:rPr>
                <w:rFonts w:eastAsia="Times New Roman"/>
                <w:bCs/>
              </w:rPr>
              <w:t>. It provides independent assurance and assistance through prompt and constructive reports directly to each accountable officer in the portfolio, particularly when issues identified present material risk or threat to the portfolio.</w:t>
            </w:r>
          </w:p>
          <w:p w14:paraId="5149F3D7" w14:textId="77777777" w:rsidR="00AB39F4" w:rsidRPr="006A395E" w:rsidRDefault="00AB39F4" w:rsidP="00D4140B">
            <w:pPr>
              <w:rPr>
                <w:rFonts w:eastAsia="Times New Roman"/>
                <w:b/>
                <w:bCs/>
              </w:rPr>
            </w:pPr>
            <w:r w:rsidRPr="006A395E">
              <w:rPr>
                <w:rFonts w:eastAsia="Times New Roman"/>
                <w:bCs/>
              </w:rPr>
              <w:t>The committee is chaired by an independent external expert appointed to the role. Each public safety portfolio agency is represented by one member. A second external member also forms part of the committee. The Chair may invite or give approval for other persons to attend a committee meeting.</w:t>
            </w:r>
          </w:p>
          <w:p w14:paraId="1D1C6456" w14:textId="77777777" w:rsidR="00AB39F4" w:rsidRPr="002E63CC" w:rsidRDefault="00AB39F4" w:rsidP="00D4140B">
            <w:pPr>
              <w:rPr>
                <w:rFonts w:eastAsia="Times New Roman"/>
                <w:b/>
                <w:bCs/>
              </w:rPr>
            </w:pPr>
            <w:r w:rsidRPr="002E63CC">
              <w:rPr>
                <w:rFonts w:eastAsia="Times New Roman"/>
                <w:bCs/>
              </w:rPr>
              <w:t>The committee meets quarterly and met on four occasions during 2016-17.</w:t>
            </w:r>
          </w:p>
          <w:p w14:paraId="6541F9ED" w14:textId="3977BB1D" w:rsidR="00AB39F4" w:rsidRPr="00662315" w:rsidRDefault="00EB634D" w:rsidP="00D4140B">
            <w:r w:rsidRPr="00A13210">
              <w:t>The independent external Chair received $6,187.50 (including GST) in remuneration for services provided in 2016-17. The second external member received $3,712.50 (including GST). There were no other on</w:t>
            </w:r>
            <w:r w:rsidRPr="00A13210">
              <w:noBreakHyphen/>
              <w:t>costs.</w:t>
            </w:r>
          </w:p>
        </w:tc>
      </w:tr>
      <w:tr w:rsidR="00AB39F4" w:rsidRPr="00A9131F" w14:paraId="7BC3366C" w14:textId="77777777" w:rsidTr="00EB4B72">
        <w:trPr>
          <w:trHeight w:val="3483"/>
        </w:trPr>
        <w:tc>
          <w:tcPr>
            <w:tcW w:w="10205" w:type="dxa"/>
            <w:tcBorders>
              <w:top w:val="single" w:sz="4" w:space="0" w:color="AB054C"/>
              <w:bottom w:val="single" w:sz="4" w:space="0" w:color="AB054C"/>
            </w:tcBorders>
            <w:shd w:val="clear" w:color="auto" w:fill="auto"/>
          </w:tcPr>
          <w:p w14:paraId="29FDA726" w14:textId="77777777" w:rsidR="00AB39F4" w:rsidRPr="00A9131F" w:rsidRDefault="00AB39F4" w:rsidP="00D4140B">
            <w:pPr>
              <w:pStyle w:val="TableParagraph"/>
              <w:tabs>
                <w:tab w:val="left" w:pos="464"/>
              </w:tabs>
              <w:spacing w:before="120" w:after="120"/>
              <w:ind w:left="103" w:hanging="103"/>
              <w:rPr>
                <w:rFonts w:ascii="Arial" w:eastAsia="Cambria" w:hAnsi="Arial" w:cs="Arial"/>
                <w:b/>
                <w:bCs/>
                <w:kern w:val="20"/>
              </w:rPr>
            </w:pPr>
            <w:r w:rsidRPr="00A9131F">
              <w:rPr>
                <w:rFonts w:ascii="Arial" w:eastAsia="Cambria" w:hAnsi="Arial" w:cs="Arial"/>
                <w:b/>
                <w:bCs/>
                <w:kern w:val="20"/>
              </w:rPr>
              <w:t>Committee Members</w:t>
            </w:r>
          </w:p>
          <w:p w14:paraId="03022A5C" w14:textId="77777777" w:rsidR="00AB39F4" w:rsidRPr="00E03E70" w:rsidRDefault="00AB39F4" w:rsidP="00AB39F4">
            <w:pPr>
              <w:pStyle w:val="ListParagraph"/>
              <w:widowControl w:val="0"/>
              <w:numPr>
                <w:ilvl w:val="0"/>
                <w:numId w:val="42"/>
              </w:numPr>
              <w:tabs>
                <w:tab w:val="left" w:pos="473"/>
              </w:tabs>
              <w:spacing w:after="0"/>
              <w:ind w:left="472" w:hanging="360"/>
              <w:contextualSpacing w:val="0"/>
              <w:rPr>
                <w:b/>
                <w:bCs/>
              </w:rPr>
            </w:pPr>
            <w:r w:rsidRPr="00E03E70">
              <w:t>Graham</w:t>
            </w:r>
            <w:r w:rsidRPr="00E03E70">
              <w:rPr>
                <w:bCs/>
              </w:rPr>
              <w:t xml:space="preserve"> Carpenter, Chair (external member)</w:t>
            </w:r>
          </w:p>
          <w:p w14:paraId="051FBED4" w14:textId="77777777" w:rsidR="00AB39F4" w:rsidRPr="00E03E70" w:rsidRDefault="00AB39F4" w:rsidP="00AB39F4">
            <w:pPr>
              <w:pStyle w:val="ListParagraph"/>
              <w:widowControl w:val="0"/>
              <w:numPr>
                <w:ilvl w:val="0"/>
                <w:numId w:val="42"/>
              </w:numPr>
              <w:tabs>
                <w:tab w:val="left" w:pos="473"/>
              </w:tabs>
              <w:spacing w:after="0"/>
              <w:ind w:left="472" w:hanging="360"/>
              <w:contextualSpacing w:val="0"/>
              <w:rPr>
                <w:b/>
                <w:bCs/>
              </w:rPr>
            </w:pPr>
            <w:r w:rsidRPr="00E03E70">
              <w:rPr>
                <w:bCs/>
              </w:rPr>
              <w:t xml:space="preserve">Ian </w:t>
            </w:r>
            <w:r w:rsidRPr="00E03E70">
              <w:t>Stewart</w:t>
            </w:r>
            <w:r w:rsidRPr="00E03E70">
              <w:rPr>
                <w:bCs/>
              </w:rPr>
              <w:t xml:space="preserve"> APM, Commissioner, QPS represented by Brett Pointing, Deputy Commissioner, Strategy, Policy and Performance, QPS</w:t>
            </w:r>
          </w:p>
          <w:p w14:paraId="2DE86F5C" w14:textId="3EA6D287" w:rsidR="00AB39F4" w:rsidRPr="00E03E70" w:rsidRDefault="00AB39F4" w:rsidP="00AB39F4">
            <w:pPr>
              <w:pStyle w:val="ListParagraph"/>
              <w:widowControl w:val="0"/>
              <w:numPr>
                <w:ilvl w:val="0"/>
                <w:numId w:val="42"/>
              </w:numPr>
              <w:tabs>
                <w:tab w:val="left" w:pos="473"/>
              </w:tabs>
              <w:spacing w:after="0"/>
              <w:ind w:left="472" w:hanging="360"/>
              <w:contextualSpacing w:val="0"/>
              <w:rPr>
                <w:b/>
                <w:bCs/>
              </w:rPr>
            </w:pPr>
            <w:r w:rsidRPr="00E03E70">
              <w:t>Katarina</w:t>
            </w:r>
            <w:r w:rsidRPr="00E03E70">
              <w:rPr>
                <w:bCs/>
              </w:rPr>
              <w:t xml:space="preserve"> Carroll APM, Commissioner, QFES represented by </w:t>
            </w:r>
            <w:r w:rsidR="00C7007B">
              <w:t>Doug Smith APM, Deputy Commissioner, Chief Strategy Officer, Strategy and Corporate Services QFES</w:t>
            </w:r>
          </w:p>
          <w:p w14:paraId="4904EA90" w14:textId="77777777" w:rsidR="00AB39F4" w:rsidRPr="00E03E70" w:rsidRDefault="00AB39F4" w:rsidP="00AB39F4">
            <w:pPr>
              <w:pStyle w:val="ListParagraph"/>
              <w:widowControl w:val="0"/>
              <w:numPr>
                <w:ilvl w:val="0"/>
                <w:numId w:val="42"/>
              </w:numPr>
              <w:tabs>
                <w:tab w:val="left" w:pos="473"/>
              </w:tabs>
              <w:spacing w:after="0"/>
              <w:ind w:left="472" w:hanging="360"/>
              <w:contextualSpacing w:val="0"/>
              <w:rPr>
                <w:b/>
                <w:bCs/>
              </w:rPr>
            </w:pPr>
            <w:r w:rsidRPr="00E03E70">
              <w:t>Iain</w:t>
            </w:r>
            <w:r w:rsidRPr="00E03E70">
              <w:rPr>
                <w:bCs/>
              </w:rPr>
              <w:t xml:space="preserve"> MacKenzie AFSM, Inspector-General Emergency Management</w:t>
            </w:r>
          </w:p>
          <w:p w14:paraId="5CA77236" w14:textId="77777777" w:rsidR="00AB39F4" w:rsidRPr="00E03E70" w:rsidRDefault="00AB39F4" w:rsidP="00AB39F4">
            <w:pPr>
              <w:pStyle w:val="ListParagraph"/>
              <w:widowControl w:val="0"/>
              <w:numPr>
                <w:ilvl w:val="0"/>
                <w:numId w:val="42"/>
              </w:numPr>
              <w:tabs>
                <w:tab w:val="left" w:pos="473"/>
              </w:tabs>
              <w:spacing w:after="0"/>
              <w:ind w:left="472" w:hanging="360"/>
              <w:contextualSpacing w:val="0"/>
              <w:rPr>
                <w:b/>
                <w:bCs/>
              </w:rPr>
            </w:pPr>
            <w:r w:rsidRPr="00E03E70">
              <w:rPr>
                <w:bCs/>
              </w:rPr>
              <w:t>Peter Griffin, Chief Operating Officer, PSBA</w:t>
            </w:r>
          </w:p>
          <w:p w14:paraId="1ED56653" w14:textId="77777777" w:rsidR="00AB39F4" w:rsidRPr="00A9131F" w:rsidRDefault="00AB39F4" w:rsidP="00AB39F4">
            <w:pPr>
              <w:pStyle w:val="ListParagraph"/>
              <w:widowControl w:val="0"/>
              <w:numPr>
                <w:ilvl w:val="0"/>
                <w:numId w:val="42"/>
              </w:numPr>
              <w:tabs>
                <w:tab w:val="left" w:pos="473"/>
              </w:tabs>
              <w:ind w:left="472" w:hanging="360"/>
              <w:contextualSpacing w:val="0"/>
              <w:rPr>
                <w:b/>
                <w:bCs/>
              </w:rPr>
            </w:pPr>
            <w:r w:rsidRPr="00E03E70">
              <w:t>Marita</w:t>
            </w:r>
            <w:r w:rsidRPr="00E03E70">
              <w:rPr>
                <w:bCs/>
              </w:rPr>
              <w:t xml:space="preserve"> Corbett (external member)</w:t>
            </w:r>
          </w:p>
        </w:tc>
      </w:tr>
    </w:tbl>
    <w:p w14:paraId="3E88E613" w14:textId="77777777" w:rsidR="0076144B" w:rsidRDefault="0076144B">
      <w:r>
        <w:br w:type="page"/>
      </w:r>
    </w:p>
    <w:tbl>
      <w:tblPr>
        <w:tblW w:w="10205" w:type="dxa"/>
        <w:tblInd w:w="-142" w:type="dxa"/>
        <w:tblBorders>
          <w:bottom w:val="single" w:sz="4" w:space="0" w:color="AB054C" w:themeColor="accent3"/>
        </w:tblBorders>
        <w:tblLook w:val="04A0" w:firstRow="1" w:lastRow="0" w:firstColumn="1" w:lastColumn="0" w:noHBand="0" w:noVBand="1"/>
      </w:tblPr>
      <w:tblGrid>
        <w:gridCol w:w="10205"/>
      </w:tblGrid>
      <w:tr w:rsidR="0076144B" w:rsidRPr="00A9131F" w14:paraId="136059E4" w14:textId="77777777" w:rsidTr="00EB4B72">
        <w:trPr>
          <w:trHeight w:val="5943"/>
        </w:trPr>
        <w:tc>
          <w:tcPr>
            <w:tcW w:w="10205" w:type="dxa"/>
            <w:shd w:val="clear" w:color="auto" w:fill="auto"/>
          </w:tcPr>
          <w:p w14:paraId="291E7526" w14:textId="1B239146" w:rsidR="0076144B" w:rsidRPr="00A9131F" w:rsidRDefault="0076144B" w:rsidP="0076144B">
            <w:pPr>
              <w:pStyle w:val="TableParagraph"/>
              <w:tabs>
                <w:tab w:val="left" w:pos="464"/>
              </w:tabs>
              <w:spacing w:before="120" w:after="120"/>
              <w:ind w:left="103" w:hanging="103"/>
              <w:rPr>
                <w:rFonts w:ascii="Arial" w:eastAsia="Cambria" w:hAnsi="Arial" w:cs="Arial"/>
                <w:b/>
                <w:bCs/>
                <w:kern w:val="20"/>
              </w:rPr>
            </w:pPr>
            <w:r w:rsidRPr="00A9131F">
              <w:rPr>
                <w:rFonts w:ascii="Arial" w:eastAsia="Cambria" w:hAnsi="Arial" w:cs="Arial"/>
                <w:b/>
                <w:bCs/>
                <w:kern w:val="20"/>
              </w:rPr>
              <w:lastRenderedPageBreak/>
              <w:t xml:space="preserve">Achievements </w:t>
            </w:r>
          </w:p>
          <w:p w14:paraId="108105FA" w14:textId="77777777" w:rsidR="0076144B" w:rsidRPr="006A395E" w:rsidRDefault="0076144B" w:rsidP="0076144B">
            <w:pPr>
              <w:rPr>
                <w:rFonts w:eastAsia="Times New Roman"/>
                <w:b/>
                <w:bCs/>
              </w:rPr>
            </w:pPr>
            <w:r w:rsidRPr="006A395E">
              <w:rPr>
                <w:rFonts w:eastAsia="Times New Roman"/>
                <w:bCs/>
              </w:rPr>
              <w:t>During 2016-17, the committee’s achievements include:</w:t>
            </w:r>
          </w:p>
          <w:p w14:paraId="40CF1320" w14:textId="77777777" w:rsidR="0076144B" w:rsidRPr="002E63CC" w:rsidRDefault="0076144B" w:rsidP="0076144B">
            <w:pPr>
              <w:pStyle w:val="ListParagraph"/>
              <w:widowControl w:val="0"/>
              <w:numPr>
                <w:ilvl w:val="0"/>
                <w:numId w:val="42"/>
              </w:numPr>
              <w:tabs>
                <w:tab w:val="left" w:pos="473"/>
              </w:tabs>
              <w:spacing w:after="0"/>
              <w:ind w:left="472" w:hanging="360"/>
              <w:contextualSpacing w:val="0"/>
              <w:rPr>
                <w:rFonts w:eastAsia="Times New Roman"/>
                <w:b/>
                <w:bCs/>
                <w:szCs w:val="22"/>
              </w:rPr>
            </w:pPr>
            <w:r w:rsidRPr="002E63CC">
              <w:rPr>
                <w:szCs w:val="22"/>
              </w:rPr>
              <w:t>oversaw</w:t>
            </w:r>
            <w:r w:rsidRPr="002E63CC">
              <w:rPr>
                <w:rFonts w:eastAsia="Times New Roman"/>
                <w:bCs/>
                <w:szCs w:val="22"/>
              </w:rPr>
              <w:t xml:space="preserve"> progress on Queensland Audit Office (QAO) issues and the status of the QAO Audit Program</w:t>
            </w:r>
          </w:p>
          <w:p w14:paraId="631D7B27" w14:textId="77777777" w:rsidR="0076144B" w:rsidRPr="002E63CC" w:rsidRDefault="0076144B" w:rsidP="0076144B">
            <w:pPr>
              <w:pStyle w:val="ListParagraph"/>
              <w:widowControl w:val="0"/>
              <w:numPr>
                <w:ilvl w:val="0"/>
                <w:numId w:val="42"/>
              </w:numPr>
              <w:tabs>
                <w:tab w:val="left" w:pos="473"/>
              </w:tabs>
              <w:spacing w:after="0"/>
              <w:ind w:left="472" w:hanging="360"/>
              <w:contextualSpacing w:val="0"/>
              <w:rPr>
                <w:rFonts w:eastAsia="Times New Roman"/>
                <w:b/>
                <w:bCs/>
                <w:szCs w:val="22"/>
              </w:rPr>
            </w:pPr>
            <w:r w:rsidRPr="002E63CC">
              <w:rPr>
                <w:szCs w:val="22"/>
              </w:rPr>
              <w:t>reviewed</w:t>
            </w:r>
            <w:r w:rsidRPr="002E63CC">
              <w:rPr>
                <w:rFonts w:eastAsia="Times New Roman"/>
                <w:bCs/>
                <w:szCs w:val="22"/>
              </w:rPr>
              <w:t xml:space="preserve"> and endorsed the Annual Financial Statements and the Chief Finance Officer Assurance Statements</w:t>
            </w:r>
          </w:p>
          <w:p w14:paraId="7D0A80C6" w14:textId="77777777" w:rsidR="0076144B" w:rsidRPr="002E63CC" w:rsidRDefault="0076144B" w:rsidP="0076144B">
            <w:pPr>
              <w:pStyle w:val="ListParagraph"/>
              <w:widowControl w:val="0"/>
              <w:numPr>
                <w:ilvl w:val="0"/>
                <w:numId w:val="42"/>
              </w:numPr>
              <w:tabs>
                <w:tab w:val="left" w:pos="473"/>
              </w:tabs>
              <w:spacing w:after="0"/>
              <w:ind w:left="472" w:hanging="360"/>
              <w:contextualSpacing w:val="0"/>
              <w:rPr>
                <w:rFonts w:eastAsia="Times New Roman"/>
                <w:b/>
                <w:bCs/>
                <w:szCs w:val="22"/>
              </w:rPr>
            </w:pPr>
            <w:r>
              <w:rPr>
                <w:rFonts w:eastAsia="Times New Roman"/>
                <w:bCs/>
                <w:szCs w:val="22"/>
              </w:rPr>
              <w:t>considered all audit reports and provided direction regarding implementation of report recommendations</w:t>
            </w:r>
          </w:p>
          <w:p w14:paraId="16FB2491" w14:textId="77777777" w:rsidR="0076144B" w:rsidRPr="002E63CC" w:rsidRDefault="0076144B" w:rsidP="0076144B">
            <w:pPr>
              <w:pStyle w:val="ListParagraph"/>
              <w:widowControl w:val="0"/>
              <w:numPr>
                <w:ilvl w:val="0"/>
                <w:numId w:val="42"/>
              </w:numPr>
              <w:tabs>
                <w:tab w:val="left" w:pos="473"/>
              </w:tabs>
              <w:spacing w:after="0"/>
              <w:ind w:left="472" w:hanging="360"/>
              <w:contextualSpacing w:val="0"/>
              <w:rPr>
                <w:rFonts w:eastAsia="Times New Roman"/>
                <w:b/>
                <w:bCs/>
                <w:szCs w:val="22"/>
              </w:rPr>
            </w:pPr>
            <w:r w:rsidRPr="002E63CC">
              <w:rPr>
                <w:szCs w:val="22"/>
              </w:rPr>
              <w:t>monitored</w:t>
            </w:r>
            <w:r w:rsidRPr="002E63CC">
              <w:rPr>
                <w:rFonts w:eastAsia="Times New Roman"/>
                <w:bCs/>
                <w:szCs w:val="22"/>
              </w:rPr>
              <w:t xml:space="preserve"> compliance with the 201</w:t>
            </w:r>
            <w:r>
              <w:rPr>
                <w:rFonts w:eastAsia="Times New Roman"/>
                <w:bCs/>
                <w:szCs w:val="22"/>
              </w:rPr>
              <w:t>6</w:t>
            </w:r>
            <w:r w:rsidRPr="002E63CC">
              <w:rPr>
                <w:rFonts w:eastAsia="Times New Roman"/>
                <w:bCs/>
                <w:szCs w:val="22"/>
              </w:rPr>
              <w:t>-1</w:t>
            </w:r>
            <w:r>
              <w:rPr>
                <w:rFonts w:eastAsia="Times New Roman"/>
                <w:bCs/>
                <w:szCs w:val="22"/>
              </w:rPr>
              <w:t>7</w:t>
            </w:r>
            <w:r w:rsidRPr="002E63CC">
              <w:rPr>
                <w:rFonts w:eastAsia="Times New Roman"/>
                <w:bCs/>
                <w:szCs w:val="22"/>
              </w:rPr>
              <w:t xml:space="preserve"> Annual Internal Audit Plan and oversaw the status of open recommendations</w:t>
            </w:r>
          </w:p>
          <w:p w14:paraId="3BB6933C" w14:textId="77777777" w:rsidR="0076144B" w:rsidRPr="002E63CC" w:rsidRDefault="0076144B" w:rsidP="0076144B">
            <w:pPr>
              <w:pStyle w:val="ListParagraph"/>
              <w:widowControl w:val="0"/>
              <w:numPr>
                <w:ilvl w:val="0"/>
                <w:numId w:val="42"/>
              </w:numPr>
              <w:tabs>
                <w:tab w:val="left" w:pos="473"/>
              </w:tabs>
              <w:spacing w:after="60"/>
              <w:ind w:left="472" w:hanging="360"/>
              <w:contextualSpacing w:val="0"/>
              <w:rPr>
                <w:rFonts w:eastAsia="Times New Roman"/>
                <w:b/>
                <w:bCs/>
                <w:szCs w:val="22"/>
              </w:rPr>
            </w:pPr>
            <w:r w:rsidRPr="002E63CC">
              <w:rPr>
                <w:szCs w:val="22"/>
              </w:rPr>
              <w:t>approved</w:t>
            </w:r>
            <w:r w:rsidRPr="002E63CC">
              <w:rPr>
                <w:rFonts w:eastAsia="Times New Roman"/>
                <w:bCs/>
                <w:szCs w:val="22"/>
              </w:rPr>
              <w:t xml:space="preserve"> the: </w:t>
            </w:r>
          </w:p>
          <w:p w14:paraId="663B465A" w14:textId="77777777" w:rsidR="0076144B" w:rsidRPr="002E63CC" w:rsidRDefault="0076144B" w:rsidP="0076144B">
            <w:pPr>
              <w:pStyle w:val="ListParagraph"/>
              <w:numPr>
                <w:ilvl w:val="0"/>
                <w:numId w:val="29"/>
              </w:numPr>
              <w:spacing w:before="0" w:after="0"/>
              <w:ind w:left="842"/>
              <w:rPr>
                <w:rFonts w:eastAsia="Times New Roman"/>
                <w:b/>
                <w:bCs/>
                <w:szCs w:val="22"/>
              </w:rPr>
            </w:pPr>
            <w:r w:rsidRPr="002E63CC">
              <w:rPr>
                <w:rFonts w:eastAsia="Times New Roman"/>
                <w:bCs/>
                <w:szCs w:val="22"/>
              </w:rPr>
              <w:t>Internal Audit Charter</w:t>
            </w:r>
          </w:p>
          <w:p w14:paraId="0B06D792" w14:textId="77777777" w:rsidR="0076144B" w:rsidRPr="002E63CC" w:rsidRDefault="0076144B" w:rsidP="0076144B">
            <w:pPr>
              <w:pStyle w:val="ListParagraph"/>
              <w:numPr>
                <w:ilvl w:val="0"/>
                <w:numId w:val="29"/>
              </w:numPr>
              <w:spacing w:before="0" w:after="0"/>
              <w:ind w:left="842"/>
              <w:rPr>
                <w:rFonts w:eastAsia="Times New Roman"/>
                <w:b/>
                <w:bCs/>
                <w:szCs w:val="22"/>
              </w:rPr>
            </w:pPr>
            <w:r w:rsidRPr="002E63CC">
              <w:rPr>
                <w:rFonts w:eastAsia="Times New Roman"/>
                <w:bCs/>
                <w:szCs w:val="22"/>
              </w:rPr>
              <w:t>Audit and Risk Committee Charter and Structure</w:t>
            </w:r>
          </w:p>
          <w:p w14:paraId="2088AC98" w14:textId="77777777" w:rsidR="0076144B" w:rsidRPr="002E63CC" w:rsidRDefault="0076144B" w:rsidP="0076144B">
            <w:pPr>
              <w:pStyle w:val="ListParagraph"/>
              <w:numPr>
                <w:ilvl w:val="0"/>
                <w:numId w:val="29"/>
              </w:numPr>
              <w:spacing w:before="0" w:after="0"/>
              <w:ind w:left="842"/>
              <w:rPr>
                <w:rFonts w:eastAsia="Times New Roman"/>
                <w:b/>
                <w:bCs/>
                <w:szCs w:val="22"/>
              </w:rPr>
            </w:pPr>
            <w:r w:rsidRPr="002E63CC">
              <w:rPr>
                <w:rFonts w:eastAsia="Times New Roman"/>
                <w:bCs/>
                <w:szCs w:val="22"/>
              </w:rPr>
              <w:t>Audit and Risk Committee 201</w:t>
            </w:r>
            <w:r>
              <w:rPr>
                <w:rFonts w:eastAsia="Times New Roman"/>
                <w:bCs/>
                <w:szCs w:val="22"/>
              </w:rPr>
              <w:t>7</w:t>
            </w:r>
            <w:r w:rsidRPr="002E63CC">
              <w:rPr>
                <w:rFonts w:eastAsia="Times New Roman"/>
                <w:bCs/>
                <w:szCs w:val="22"/>
              </w:rPr>
              <w:t>-1</w:t>
            </w:r>
            <w:r>
              <w:rPr>
                <w:rFonts w:eastAsia="Times New Roman"/>
                <w:bCs/>
                <w:szCs w:val="22"/>
              </w:rPr>
              <w:t>8</w:t>
            </w:r>
            <w:r w:rsidRPr="002E63CC">
              <w:rPr>
                <w:rFonts w:eastAsia="Times New Roman"/>
                <w:bCs/>
                <w:szCs w:val="22"/>
              </w:rPr>
              <w:t xml:space="preserve"> Workplan</w:t>
            </w:r>
          </w:p>
          <w:p w14:paraId="3ABBA4AA" w14:textId="77777777" w:rsidR="00407FAB" w:rsidRPr="00407FAB" w:rsidRDefault="0076144B" w:rsidP="00407FAB">
            <w:pPr>
              <w:pStyle w:val="ListParagraph"/>
              <w:widowControl w:val="0"/>
              <w:numPr>
                <w:ilvl w:val="0"/>
                <w:numId w:val="42"/>
              </w:numPr>
              <w:tabs>
                <w:tab w:val="left" w:pos="473"/>
              </w:tabs>
              <w:ind w:left="472" w:hanging="360"/>
              <w:contextualSpacing w:val="0"/>
              <w:rPr>
                <w:b/>
                <w:bCs/>
              </w:rPr>
            </w:pPr>
            <w:r w:rsidRPr="002E63CC">
              <w:rPr>
                <w:szCs w:val="22"/>
              </w:rPr>
              <w:t>endorsed</w:t>
            </w:r>
            <w:r w:rsidRPr="002E63CC">
              <w:rPr>
                <w:rFonts w:eastAsia="Times New Roman"/>
                <w:bCs/>
                <w:szCs w:val="22"/>
              </w:rPr>
              <w:t xml:space="preserve"> the Annual Internal Audit Plan 201</w:t>
            </w:r>
            <w:r>
              <w:rPr>
                <w:rFonts w:eastAsia="Times New Roman"/>
                <w:bCs/>
                <w:szCs w:val="22"/>
              </w:rPr>
              <w:t>7</w:t>
            </w:r>
            <w:r w:rsidRPr="002E63CC">
              <w:rPr>
                <w:rFonts w:eastAsia="Times New Roman"/>
                <w:bCs/>
                <w:szCs w:val="22"/>
              </w:rPr>
              <w:t>-1</w:t>
            </w:r>
            <w:r>
              <w:rPr>
                <w:rFonts w:eastAsia="Times New Roman"/>
                <w:bCs/>
                <w:szCs w:val="22"/>
              </w:rPr>
              <w:t>8</w:t>
            </w:r>
            <w:r w:rsidRPr="002E63CC">
              <w:rPr>
                <w:rFonts w:eastAsia="Times New Roman"/>
                <w:bCs/>
                <w:szCs w:val="22"/>
              </w:rPr>
              <w:t>, incorporating the Internal Audit Strategic Plan 201</w:t>
            </w:r>
            <w:r>
              <w:rPr>
                <w:rFonts w:eastAsia="Times New Roman"/>
                <w:bCs/>
                <w:szCs w:val="22"/>
              </w:rPr>
              <w:t>7</w:t>
            </w:r>
            <w:r w:rsidRPr="002E63CC">
              <w:rPr>
                <w:rFonts w:eastAsia="Times New Roman"/>
                <w:bCs/>
                <w:szCs w:val="22"/>
              </w:rPr>
              <w:t>-20</w:t>
            </w:r>
            <w:r>
              <w:rPr>
                <w:rFonts w:eastAsia="Times New Roman"/>
                <w:bCs/>
                <w:szCs w:val="22"/>
              </w:rPr>
              <w:t>20</w:t>
            </w:r>
          </w:p>
          <w:p w14:paraId="74AC5C5D" w14:textId="4BA8DFCE" w:rsidR="0076144B" w:rsidRPr="00407FAB" w:rsidRDefault="0076144B" w:rsidP="00407FAB">
            <w:pPr>
              <w:pStyle w:val="ListParagraph"/>
              <w:widowControl w:val="0"/>
              <w:numPr>
                <w:ilvl w:val="0"/>
                <w:numId w:val="42"/>
              </w:numPr>
              <w:tabs>
                <w:tab w:val="left" w:pos="473"/>
              </w:tabs>
              <w:ind w:left="472" w:hanging="360"/>
              <w:contextualSpacing w:val="0"/>
              <w:rPr>
                <w:b/>
                <w:bCs/>
              </w:rPr>
            </w:pPr>
            <w:r w:rsidRPr="00407FAB">
              <w:rPr>
                <w:rFonts w:eastAsia="Times New Roman"/>
                <w:bCs/>
              </w:rPr>
              <w:t>facilitated a strategic risk focus and provided support for the updated PSBA risk management framework.</w:t>
            </w:r>
          </w:p>
        </w:tc>
      </w:tr>
    </w:tbl>
    <w:p w14:paraId="25786836" w14:textId="77777777" w:rsidR="0076144B" w:rsidRDefault="0076144B">
      <w:r>
        <w:br w:type="page"/>
      </w:r>
    </w:p>
    <w:p w14:paraId="686CAF30" w14:textId="77777777" w:rsidR="0076144B" w:rsidRPr="007C2B1C" w:rsidRDefault="0076144B" w:rsidP="007703EB">
      <w:pPr>
        <w:pStyle w:val="Heading2"/>
      </w:pPr>
      <w:bookmarkStart w:id="56" w:name="_Toc492622948"/>
      <w:r w:rsidRPr="007C2B1C">
        <w:lastRenderedPageBreak/>
        <w:t>About us</w:t>
      </w:r>
      <w:bookmarkEnd w:id="56"/>
      <w:r w:rsidRPr="007C2B1C">
        <w:t xml:space="preserve"> </w:t>
      </w:r>
    </w:p>
    <w:p w14:paraId="6D0CE4BA" w14:textId="485AAA91" w:rsidR="00AB39F4" w:rsidRPr="00A250E2" w:rsidRDefault="00AB39F4" w:rsidP="001A7E9D">
      <w:pPr>
        <w:ind w:left="-142"/>
      </w:pPr>
      <w:bookmarkStart w:id="57" w:name="_bookmark0"/>
      <w:bookmarkEnd w:id="36"/>
      <w:bookmarkEnd w:id="37"/>
      <w:bookmarkEnd w:id="38"/>
      <w:bookmarkEnd w:id="39"/>
      <w:bookmarkEnd w:id="40"/>
      <w:bookmarkEnd w:id="41"/>
      <w:bookmarkEnd w:id="42"/>
      <w:bookmarkEnd w:id="43"/>
      <w:bookmarkEnd w:id="44"/>
      <w:bookmarkEnd w:id="57"/>
      <w:r>
        <w:t>T</w:t>
      </w:r>
      <w:r w:rsidRPr="00A250E2">
        <w:t xml:space="preserve">he Office of the </w:t>
      </w:r>
      <w:r>
        <w:t>I</w:t>
      </w:r>
      <w:r w:rsidRPr="00A250E2">
        <w:t>GEM was formally established as a public service office on 1 July 2014</w:t>
      </w:r>
      <w:r w:rsidRPr="00A250E2">
        <w:rPr>
          <w:spacing w:val="-30"/>
        </w:rPr>
        <w:t xml:space="preserve"> </w:t>
      </w:r>
      <w:r w:rsidRPr="00A250E2">
        <w:t>under</w:t>
      </w:r>
      <w:r w:rsidRPr="00A250E2">
        <w:rPr>
          <w:spacing w:val="-1"/>
        </w:rPr>
        <w:t xml:space="preserve"> </w:t>
      </w:r>
      <w:r w:rsidRPr="00A250E2">
        <w:t xml:space="preserve">amendments to the </w:t>
      </w:r>
      <w:r w:rsidRPr="00A250E2">
        <w:rPr>
          <w:i/>
        </w:rPr>
        <w:t xml:space="preserve">Disaster Management Act 2003 </w:t>
      </w:r>
      <w:r w:rsidRPr="00A250E2">
        <w:t>to support confidence in</w:t>
      </w:r>
      <w:r w:rsidRPr="00A250E2">
        <w:rPr>
          <w:spacing w:val="-19"/>
        </w:rPr>
        <w:t xml:space="preserve"> </w:t>
      </w:r>
      <w:r w:rsidRPr="00A250E2">
        <w:t>Queensland’s emergency management arrangements. It does this by reviewing and assessing</w:t>
      </w:r>
      <w:r w:rsidRPr="00A250E2">
        <w:rPr>
          <w:spacing w:val="-29"/>
        </w:rPr>
        <w:t xml:space="preserve"> </w:t>
      </w:r>
      <w:r w:rsidRPr="00A250E2">
        <w:t>Queensland’s disaster management arrangements for opportunities to improve community</w:t>
      </w:r>
      <w:r w:rsidRPr="00A250E2">
        <w:rPr>
          <w:spacing w:val="-36"/>
        </w:rPr>
        <w:t xml:space="preserve"> </w:t>
      </w:r>
      <w:r w:rsidRPr="00A250E2">
        <w:t>outcomes.</w:t>
      </w:r>
    </w:p>
    <w:p w14:paraId="22AFAE9B" w14:textId="77777777" w:rsidR="00AB39F4" w:rsidRDefault="00AB39F4" w:rsidP="001A7E9D">
      <w:pPr>
        <w:pStyle w:val="BodyText"/>
        <w:spacing w:after="240"/>
        <w:ind w:left="-142"/>
      </w:pPr>
      <w:r w:rsidRPr="00A250E2">
        <w:t xml:space="preserve">Disaster management within Queensland is </w:t>
      </w:r>
      <w:r>
        <w:t>built</w:t>
      </w:r>
      <w:r w:rsidRPr="00A250E2">
        <w:t xml:space="preserve"> on local capability and capacity,</w:t>
      </w:r>
      <w:r w:rsidRPr="00A250E2">
        <w:rPr>
          <w:spacing w:val="-27"/>
        </w:rPr>
        <w:t xml:space="preserve"> </w:t>
      </w:r>
      <w:r w:rsidRPr="00A250E2">
        <w:t>supported</w:t>
      </w:r>
      <w:r w:rsidRPr="00A250E2">
        <w:rPr>
          <w:spacing w:val="-1"/>
        </w:rPr>
        <w:t xml:space="preserve"> </w:t>
      </w:r>
      <w:r w:rsidRPr="00A250E2">
        <w:t xml:space="preserve">and </w:t>
      </w:r>
      <w:r>
        <w:t>strengthened</w:t>
      </w:r>
      <w:r w:rsidRPr="00A250E2">
        <w:t xml:space="preserve"> through a scalable, responsive model. The model builds </w:t>
      </w:r>
      <w:r>
        <w:t xml:space="preserve">on </w:t>
      </w:r>
      <w:r w:rsidRPr="00A250E2">
        <w:t>the availability</w:t>
      </w:r>
      <w:r w:rsidRPr="00A250E2">
        <w:rPr>
          <w:spacing w:val="-37"/>
        </w:rPr>
        <w:t xml:space="preserve"> </w:t>
      </w:r>
      <w:r w:rsidRPr="00A250E2">
        <w:t>and</w:t>
      </w:r>
      <w:r w:rsidRPr="00A250E2">
        <w:rPr>
          <w:spacing w:val="-1"/>
        </w:rPr>
        <w:t xml:space="preserve"> </w:t>
      </w:r>
      <w:r w:rsidRPr="00A250E2">
        <w:t>coordination of support at local, district, state and national levels. The success of the system</w:t>
      </w:r>
      <w:r>
        <w:rPr>
          <w:spacing w:val="-34"/>
        </w:rPr>
        <w:t xml:space="preserve"> </w:t>
      </w:r>
      <w:r w:rsidRPr="00A250E2">
        <w:t>relies</w:t>
      </w:r>
      <w:r w:rsidRPr="00A250E2">
        <w:rPr>
          <w:spacing w:val="-1"/>
        </w:rPr>
        <w:t xml:space="preserve"> </w:t>
      </w:r>
      <w:r w:rsidRPr="00A250E2">
        <w:t xml:space="preserve">on </w:t>
      </w:r>
      <w:r>
        <w:t>key stakeholders</w:t>
      </w:r>
      <w:r w:rsidRPr="00A250E2">
        <w:t xml:space="preserve"> working collaboratively and cooperatively</w:t>
      </w:r>
      <w:r w:rsidRPr="00A250E2">
        <w:rPr>
          <w:spacing w:val="-28"/>
        </w:rPr>
        <w:t xml:space="preserve"> </w:t>
      </w:r>
      <w:r w:rsidRPr="00A250E2">
        <w:t>to contribute to outcomes that benefit the</w:t>
      </w:r>
      <w:r w:rsidRPr="00A250E2">
        <w:rPr>
          <w:spacing w:val="-23"/>
        </w:rPr>
        <w:t xml:space="preserve"> </w:t>
      </w:r>
      <w:r w:rsidRPr="00A250E2">
        <w:t>community.</w:t>
      </w:r>
    </w:p>
    <w:p w14:paraId="48CA3BE9" w14:textId="77777777" w:rsidR="00AB39F4" w:rsidRPr="00667FC5" w:rsidRDefault="00AB39F4" w:rsidP="00AB39F4">
      <w:pPr>
        <w:pBdr>
          <w:top w:val="single" w:sz="24" w:space="8" w:color="AB054C"/>
          <w:bottom w:val="single" w:sz="24" w:space="8" w:color="AB054C"/>
        </w:pBdr>
        <w:ind w:left="851" w:right="1310"/>
        <w:jc w:val="center"/>
        <w:rPr>
          <w:b/>
          <w:bCs/>
          <w:i/>
          <w:iCs/>
          <w:color w:val="990033"/>
          <w:sz w:val="24"/>
          <w:szCs w:val="24"/>
        </w:rPr>
      </w:pPr>
      <w:r w:rsidRPr="00667FC5">
        <w:rPr>
          <w:b/>
          <w:i/>
          <w:iCs/>
          <w:color w:val="990033"/>
          <w:sz w:val="24"/>
          <w:szCs w:val="24"/>
        </w:rPr>
        <w:t>Our vision</w:t>
      </w:r>
    </w:p>
    <w:p w14:paraId="11693E0D" w14:textId="77777777" w:rsidR="00AB39F4" w:rsidRPr="00AE6BEA" w:rsidRDefault="00AB39F4" w:rsidP="00AB39F4">
      <w:pPr>
        <w:pBdr>
          <w:top w:val="single" w:sz="24" w:space="8" w:color="AB054C"/>
          <w:bottom w:val="single" w:sz="24" w:space="8" w:color="AB054C"/>
        </w:pBdr>
        <w:ind w:left="851" w:right="1310"/>
        <w:jc w:val="center"/>
        <w:rPr>
          <w:i/>
          <w:iCs/>
          <w:color w:val="990033"/>
          <w:sz w:val="24"/>
          <w:szCs w:val="24"/>
        </w:rPr>
      </w:pPr>
      <w:r w:rsidRPr="00AE6BEA">
        <w:rPr>
          <w:i/>
          <w:iCs/>
          <w:color w:val="990033"/>
          <w:sz w:val="24"/>
          <w:szCs w:val="24"/>
        </w:rPr>
        <w:t xml:space="preserve">A catalyst for excellence in </w:t>
      </w:r>
      <w:r>
        <w:rPr>
          <w:i/>
          <w:iCs/>
          <w:color w:val="990033"/>
          <w:sz w:val="24"/>
          <w:szCs w:val="24"/>
        </w:rPr>
        <w:t>e</w:t>
      </w:r>
      <w:r w:rsidRPr="00AE6BEA">
        <w:rPr>
          <w:i/>
          <w:iCs/>
          <w:color w:val="990033"/>
          <w:sz w:val="24"/>
          <w:szCs w:val="24"/>
        </w:rPr>
        <w:t xml:space="preserve">mergency </w:t>
      </w:r>
      <w:r>
        <w:rPr>
          <w:i/>
          <w:iCs/>
          <w:color w:val="990033"/>
          <w:sz w:val="24"/>
          <w:szCs w:val="24"/>
        </w:rPr>
        <w:t>m</w:t>
      </w:r>
      <w:r w:rsidRPr="00AE6BEA">
        <w:rPr>
          <w:i/>
          <w:iCs/>
          <w:color w:val="990033"/>
          <w:sz w:val="24"/>
          <w:szCs w:val="24"/>
        </w:rPr>
        <w:t>anagement.</w:t>
      </w:r>
    </w:p>
    <w:p w14:paraId="0D7E3B7D" w14:textId="77777777" w:rsidR="00AB39F4" w:rsidRPr="00667FC5" w:rsidRDefault="00AB39F4" w:rsidP="00AB39F4">
      <w:pPr>
        <w:pStyle w:val="BodyText"/>
        <w:ind w:right="614"/>
        <w:rPr>
          <w:color w:val="990033"/>
        </w:rPr>
      </w:pPr>
    </w:p>
    <w:p w14:paraId="3EBCD7D1" w14:textId="77777777" w:rsidR="00AB39F4" w:rsidRPr="00667FC5" w:rsidRDefault="00AB39F4" w:rsidP="00AB39F4">
      <w:pPr>
        <w:pBdr>
          <w:top w:val="single" w:sz="24" w:space="8" w:color="AB054C"/>
          <w:bottom w:val="single" w:sz="24" w:space="8" w:color="AB054C"/>
        </w:pBdr>
        <w:ind w:left="851" w:right="1310"/>
        <w:jc w:val="center"/>
        <w:rPr>
          <w:b/>
          <w:bCs/>
          <w:i/>
          <w:iCs/>
          <w:color w:val="990033"/>
          <w:sz w:val="24"/>
          <w:szCs w:val="24"/>
        </w:rPr>
      </w:pPr>
      <w:r w:rsidRPr="00667FC5">
        <w:rPr>
          <w:b/>
          <w:i/>
          <w:iCs/>
          <w:color w:val="990033"/>
          <w:sz w:val="24"/>
          <w:szCs w:val="24"/>
        </w:rPr>
        <w:t>Our purpose</w:t>
      </w:r>
    </w:p>
    <w:p w14:paraId="6DB0499C" w14:textId="77777777" w:rsidR="00AB39F4" w:rsidRPr="00AE6BEA" w:rsidRDefault="00AB39F4" w:rsidP="00AB39F4">
      <w:pPr>
        <w:pBdr>
          <w:top w:val="single" w:sz="24" w:space="8" w:color="AB054C"/>
          <w:bottom w:val="single" w:sz="24" w:space="8" w:color="AB054C"/>
        </w:pBdr>
        <w:ind w:left="851" w:right="1310"/>
        <w:jc w:val="center"/>
        <w:rPr>
          <w:i/>
          <w:iCs/>
          <w:color w:val="990033"/>
          <w:sz w:val="24"/>
          <w:szCs w:val="24"/>
        </w:rPr>
      </w:pPr>
      <w:r w:rsidRPr="00AE6BEA">
        <w:rPr>
          <w:i/>
          <w:iCs/>
          <w:color w:val="990033"/>
          <w:sz w:val="24"/>
          <w:szCs w:val="24"/>
        </w:rPr>
        <w:t>To enable confidence in Queensland’s emergency management arrangements.</w:t>
      </w:r>
    </w:p>
    <w:p w14:paraId="1F04D9F7" w14:textId="77777777" w:rsidR="00AB39F4" w:rsidRPr="00BF4802" w:rsidRDefault="00AB39F4" w:rsidP="00913AA5">
      <w:pPr>
        <w:pStyle w:val="Heading3"/>
      </w:pPr>
      <w:r w:rsidRPr="00BF4802">
        <w:t>Our environment</w:t>
      </w:r>
    </w:p>
    <w:p w14:paraId="182A889D" w14:textId="4327E5FA" w:rsidR="00AB39F4" w:rsidRDefault="00AB39F4" w:rsidP="001A7E9D">
      <w:pPr>
        <w:pStyle w:val="BodyText"/>
        <w:ind w:left="-142"/>
      </w:pPr>
      <w:r>
        <w:t xml:space="preserve">Climate adaptation, digital disruption, shifting demographics and community expectations all form part of </w:t>
      </w:r>
      <w:r w:rsidR="00AB2417">
        <w:t xml:space="preserve">a </w:t>
      </w:r>
      <w:r>
        <w:t xml:space="preserve">changing landscape within which emergency management operates in Queensland. </w:t>
      </w:r>
    </w:p>
    <w:p w14:paraId="32C7A522" w14:textId="36176E16" w:rsidR="00AB39F4" w:rsidRDefault="00AB39F4" w:rsidP="001A7E9D">
      <w:pPr>
        <w:pStyle w:val="BodyText"/>
        <w:ind w:left="-142"/>
      </w:pPr>
      <w:r>
        <w:t xml:space="preserve">Community focused approaches that draw on local capability, capacity and leadership are critical to building resilience in Queensland. Collaboration and cooperation at local, district, state and national levels are also key to achieving </w:t>
      </w:r>
      <w:r w:rsidR="006A6077">
        <w:t xml:space="preserve">effective </w:t>
      </w:r>
      <w:r>
        <w:t xml:space="preserve">outcomes across emergency management planning, preparedness, response and recovery. </w:t>
      </w:r>
    </w:p>
    <w:p w14:paraId="3016E8BD" w14:textId="77777777" w:rsidR="00AB39F4" w:rsidRPr="00C9772A" w:rsidRDefault="00AB39F4" w:rsidP="001A7E9D">
      <w:pPr>
        <w:pStyle w:val="BodyText"/>
        <w:ind w:left="-142"/>
      </w:pPr>
      <w:r>
        <w:t xml:space="preserve">In this context, the Office of the IGEM will continue to genuinely engage with state agencies, local governments and non-government organisations to foster improved disaster management outcomes for Queenslanders. Flexible and transparent systems and processes that support open communication and good governance will be key areas of focus going forward.  </w:t>
      </w:r>
    </w:p>
    <w:p w14:paraId="79EB56E6" w14:textId="77777777" w:rsidR="00AB39F4" w:rsidRPr="00BF4802" w:rsidRDefault="00AB39F4" w:rsidP="00EB4B72">
      <w:pPr>
        <w:ind w:left="425" w:hanging="567"/>
      </w:pPr>
      <w:r>
        <w:br w:type="page"/>
      </w:r>
      <w:r w:rsidRPr="00BF4802">
        <w:rPr>
          <w:rFonts w:ascii="Arial Bold" w:eastAsia="Calibri" w:hAnsi="Arial Bold"/>
          <w:b/>
          <w:bCs/>
          <w:sz w:val="28"/>
          <w14:ligatures w14:val="standardContextual"/>
        </w:rPr>
        <w:lastRenderedPageBreak/>
        <w:t>Our accountabilities</w:t>
      </w:r>
    </w:p>
    <w:p w14:paraId="5471B741" w14:textId="77777777" w:rsidR="00AB39F4" w:rsidRPr="005E4509" w:rsidRDefault="00AB39F4" w:rsidP="001A7E9D">
      <w:pPr>
        <w:spacing w:line="252" w:lineRule="exact"/>
        <w:ind w:left="426" w:hanging="568"/>
        <w:rPr>
          <w:rFonts w:eastAsia="Arial"/>
        </w:rPr>
      </w:pPr>
      <w:r w:rsidRPr="005E4509">
        <w:t xml:space="preserve">The functions of the Office of the IGEM under the </w:t>
      </w:r>
      <w:r w:rsidRPr="005E4509">
        <w:rPr>
          <w:i/>
        </w:rPr>
        <w:t>Disaster Management Act 2003</w:t>
      </w:r>
      <w:r w:rsidRPr="005E4509">
        <w:t xml:space="preserve"> include:</w:t>
      </w:r>
    </w:p>
    <w:p w14:paraId="299022A3"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A250E2">
        <w:t xml:space="preserve">regularly review and assess the </w:t>
      </w:r>
      <w:r w:rsidRPr="00207679">
        <w:rPr>
          <w:bCs/>
        </w:rPr>
        <w:t>effectiveness</w:t>
      </w:r>
      <w:r w:rsidRPr="00A250E2">
        <w:t xml:space="preserve"> of disaster management by the state, including</w:t>
      </w:r>
      <w:r>
        <w:t xml:space="preserve"> </w:t>
      </w:r>
      <w:r w:rsidRPr="00A250E2">
        <w:t>the</w:t>
      </w:r>
      <w:r w:rsidRPr="00A250E2">
        <w:rPr>
          <w:spacing w:val="-1"/>
        </w:rPr>
        <w:t xml:space="preserve"> </w:t>
      </w:r>
      <w:r w:rsidRPr="00A250E2">
        <w:t>State Disaster Management Plan and its</w:t>
      </w:r>
      <w:r w:rsidRPr="00A250E2">
        <w:rPr>
          <w:spacing w:val="-5"/>
        </w:rPr>
        <w:t xml:space="preserve"> </w:t>
      </w:r>
      <w:r w:rsidRPr="00A250E2">
        <w:t>implementation</w:t>
      </w:r>
    </w:p>
    <w:p w14:paraId="198DA1E1"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regularly</w:t>
      </w:r>
      <w:r w:rsidRPr="00A250E2">
        <w:t xml:space="preserve"> review and assess the effectiveness of disaster management by district and</w:t>
      </w:r>
      <w:r w:rsidRPr="00A250E2">
        <w:rPr>
          <w:spacing w:val="-31"/>
        </w:rPr>
        <w:t xml:space="preserve"> </w:t>
      </w:r>
      <w:r w:rsidRPr="00A250E2">
        <w:t>local</w:t>
      </w:r>
      <w:r w:rsidRPr="00A250E2">
        <w:rPr>
          <w:spacing w:val="-1"/>
        </w:rPr>
        <w:t xml:space="preserve"> </w:t>
      </w:r>
      <w:r w:rsidRPr="00A250E2">
        <w:t>groups, including district and local disaster management</w:t>
      </w:r>
      <w:r w:rsidRPr="00A250E2">
        <w:rPr>
          <w:spacing w:val="-4"/>
        </w:rPr>
        <w:t xml:space="preserve"> </w:t>
      </w:r>
      <w:r w:rsidRPr="00A250E2">
        <w:t>plans</w:t>
      </w:r>
    </w:p>
    <w:p w14:paraId="69880655"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regularly</w:t>
      </w:r>
      <w:r w:rsidRPr="00A250E2">
        <w:t xml:space="preserve"> review and assess cooperation between entities responsible for disaster</w:t>
      </w:r>
      <w:r w:rsidRPr="00A250E2">
        <w:rPr>
          <w:spacing w:val="-35"/>
        </w:rPr>
        <w:t xml:space="preserve"> </w:t>
      </w:r>
      <w:r w:rsidRPr="00A250E2">
        <w:t>management</w:t>
      </w:r>
      <w:r w:rsidRPr="00A250E2">
        <w:rPr>
          <w:spacing w:val="-1"/>
        </w:rPr>
        <w:t xml:space="preserve"> </w:t>
      </w:r>
      <w:r w:rsidRPr="00A250E2">
        <w:t>in the state, including whether the disaster management systems and procedures employed</w:t>
      </w:r>
      <w:r w:rsidRPr="00A250E2">
        <w:rPr>
          <w:spacing w:val="-32"/>
        </w:rPr>
        <w:t xml:space="preserve"> </w:t>
      </w:r>
      <w:r w:rsidRPr="00A250E2">
        <w:t>by</w:t>
      </w:r>
      <w:r w:rsidRPr="00A250E2">
        <w:rPr>
          <w:spacing w:val="-1"/>
        </w:rPr>
        <w:t xml:space="preserve"> </w:t>
      </w:r>
      <w:r w:rsidRPr="00A250E2">
        <w:t>those entities are compatible and</w:t>
      </w:r>
      <w:r w:rsidRPr="00A250E2">
        <w:rPr>
          <w:spacing w:val="-2"/>
        </w:rPr>
        <w:t xml:space="preserve"> </w:t>
      </w:r>
      <w:r w:rsidRPr="00A250E2">
        <w:t>consistent</w:t>
      </w:r>
    </w:p>
    <w:p w14:paraId="2267E3AA"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make</w:t>
      </w:r>
      <w:r w:rsidRPr="00A250E2">
        <w:t xml:space="preserve"> disaster management</w:t>
      </w:r>
      <w:r w:rsidRPr="00A250E2">
        <w:rPr>
          <w:spacing w:val="-2"/>
        </w:rPr>
        <w:t xml:space="preserve"> </w:t>
      </w:r>
      <w:r w:rsidRPr="00A250E2">
        <w:t>standards</w:t>
      </w:r>
    </w:p>
    <w:p w14:paraId="0695C31C"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regularly</w:t>
      </w:r>
      <w:r w:rsidRPr="00A250E2">
        <w:t xml:space="preserve"> review and assess disaster management</w:t>
      </w:r>
      <w:r w:rsidRPr="00A250E2">
        <w:rPr>
          <w:spacing w:val="-5"/>
        </w:rPr>
        <w:t xml:space="preserve"> </w:t>
      </w:r>
      <w:r w:rsidRPr="00A250E2">
        <w:t>standards</w:t>
      </w:r>
    </w:p>
    <w:p w14:paraId="3A6AAE30"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review</w:t>
      </w:r>
      <w:r w:rsidRPr="00A250E2">
        <w:t>, assess and report on performance by entities responsible for disaster management in</w:t>
      </w:r>
      <w:r w:rsidRPr="00A250E2">
        <w:rPr>
          <w:spacing w:val="-31"/>
        </w:rPr>
        <w:t xml:space="preserve"> </w:t>
      </w:r>
      <w:r w:rsidRPr="00A250E2">
        <w:t>the</w:t>
      </w:r>
      <w:r w:rsidRPr="00A250E2">
        <w:rPr>
          <w:spacing w:val="-1"/>
        </w:rPr>
        <w:t xml:space="preserve"> </w:t>
      </w:r>
      <w:r w:rsidRPr="00A250E2">
        <w:t>state against the disaster management</w:t>
      </w:r>
      <w:r w:rsidRPr="00A250E2">
        <w:rPr>
          <w:spacing w:val="-8"/>
        </w:rPr>
        <w:t xml:space="preserve"> </w:t>
      </w:r>
      <w:r w:rsidRPr="00A250E2">
        <w:t>standards</w:t>
      </w:r>
    </w:p>
    <w:p w14:paraId="29A936F0"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work</w:t>
      </w:r>
      <w:r w:rsidRPr="00A250E2">
        <w:t xml:space="preserve"> with entities performing emergency services, departments and the community to</w:t>
      </w:r>
      <w:r w:rsidRPr="00A250E2">
        <w:rPr>
          <w:spacing w:val="-29"/>
        </w:rPr>
        <w:t xml:space="preserve"> </w:t>
      </w:r>
      <w:r w:rsidRPr="00A250E2">
        <w:t>identify and improve disaster management capabilities, including volunteer</w:t>
      </w:r>
      <w:r w:rsidRPr="00A250E2">
        <w:rPr>
          <w:spacing w:val="-5"/>
        </w:rPr>
        <w:t xml:space="preserve"> </w:t>
      </w:r>
      <w:r w:rsidRPr="00A250E2">
        <w:t>capabilities</w:t>
      </w:r>
    </w:p>
    <w:p w14:paraId="5BAD644F"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monitor</w:t>
      </w:r>
      <w:r w:rsidRPr="00A250E2">
        <w:t xml:space="preserve"> compliance by departments with their disaster management</w:t>
      </w:r>
      <w:r w:rsidRPr="00A250E2">
        <w:rPr>
          <w:spacing w:val="-15"/>
        </w:rPr>
        <w:t xml:space="preserve"> </w:t>
      </w:r>
      <w:r w:rsidRPr="00A250E2">
        <w:t>responsibilities</w:t>
      </w:r>
    </w:p>
    <w:p w14:paraId="25EE23B6" w14:textId="77777777" w:rsidR="00AB39F4" w:rsidRPr="00A250E2"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207679">
        <w:rPr>
          <w:bCs/>
        </w:rPr>
        <w:t>identify</w:t>
      </w:r>
      <w:r w:rsidRPr="00A250E2">
        <w:t xml:space="preserve"> opportunities for cooperative partnerships to improve disaster management</w:t>
      </w:r>
      <w:r w:rsidRPr="00A250E2">
        <w:rPr>
          <w:spacing w:val="-24"/>
        </w:rPr>
        <w:t xml:space="preserve"> </w:t>
      </w:r>
      <w:r w:rsidRPr="00A250E2">
        <w:t>outcomes</w:t>
      </w:r>
    </w:p>
    <w:p w14:paraId="1E7211BE" w14:textId="65D506D6" w:rsidR="00AB39F4" w:rsidRPr="001A7E9D" w:rsidRDefault="00AB39F4" w:rsidP="001A7E9D">
      <w:pPr>
        <w:pStyle w:val="ListParagraph"/>
        <w:widowControl w:val="0"/>
        <w:numPr>
          <w:ilvl w:val="0"/>
          <w:numId w:val="25"/>
        </w:numPr>
        <w:tabs>
          <w:tab w:val="left" w:pos="473"/>
        </w:tabs>
        <w:spacing w:after="0"/>
        <w:ind w:left="426" w:hanging="568"/>
        <w:contextualSpacing w:val="0"/>
        <w:rPr>
          <w:rFonts w:eastAsia="Arial"/>
        </w:rPr>
      </w:pPr>
      <w:r w:rsidRPr="00A250E2">
        <w:t>report to, and advise, the Minister for Police, Fire and Emergency Services and Minister</w:t>
      </w:r>
      <w:r w:rsidRPr="00A250E2">
        <w:rPr>
          <w:spacing w:val="-31"/>
        </w:rPr>
        <w:t xml:space="preserve"> </w:t>
      </w:r>
      <w:r w:rsidRPr="00A250E2">
        <w:t xml:space="preserve">for </w:t>
      </w:r>
      <w:r w:rsidRPr="00207679">
        <w:rPr>
          <w:bCs/>
        </w:rPr>
        <w:t>Corrective</w:t>
      </w:r>
      <w:r w:rsidRPr="00A250E2">
        <w:t xml:space="preserve"> Services about issues relating to the abovementioned</w:t>
      </w:r>
      <w:r w:rsidRPr="00A250E2">
        <w:rPr>
          <w:spacing w:val="-11"/>
        </w:rPr>
        <w:t xml:space="preserve"> </w:t>
      </w:r>
      <w:r w:rsidRPr="00A250E2">
        <w:t>functions.</w:t>
      </w:r>
    </w:p>
    <w:p w14:paraId="191F76A6" w14:textId="77777777" w:rsidR="00AB39F4" w:rsidRPr="005E4509" w:rsidRDefault="00AB39F4" w:rsidP="001A7E9D">
      <w:pPr>
        <w:spacing w:line="252" w:lineRule="exact"/>
        <w:ind w:left="-142"/>
      </w:pPr>
      <w:r w:rsidRPr="005E4509">
        <w:t>The Office of the IGEM provides independent assurance and advice about Queensland’s</w:t>
      </w:r>
      <w:r w:rsidRPr="005E4509">
        <w:rPr>
          <w:spacing w:val="-33"/>
        </w:rPr>
        <w:t xml:space="preserve"> </w:t>
      </w:r>
      <w:r w:rsidRPr="005E4509">
        <w:t>emergency management arrangements, with a focus on a risk based approach</w:t>
      </w:r>
      <w:r>
        <w:t xml:space="preserve">. </w:t>
      </w:r>
      <w:r w:rsidRPr="005E4509">
        <w:t>The Office of the IGEM also provides authoritative reporting to enhance accountability and</w:t>
      </w:r>
      <w:r w:rsidRPr="005E4509">
        <w:rPr>
          <w:spacing w:val="-13"/>
        </w:rPr>
        <w:t xml:space="preserve"> </w:t>
      </w:r>
      <w:r w:rsidRPr="005E4509">
        <w:t>improve outcomes for the</w:t>
      </w:r>
      <w:r w:rsidRPr="005E4509">
        <w:rPr>
          <w:spacing w:val="-11"/>
        </w:rPr>
        <w:t xml:space="preserve"> </w:t>
      </w:r>
      <w:r w:rsidRPr="005E4509">
        <w:t>community.</w:t>
      </w:r>
    </w:p>
    <w:p w14:paraId="671782DD" w14:textId="4C7202B8" w:rsidR="00AB39F4" w:rsidRDefault="00AB39F4" w:rsidP="001A7E9D">
      <w:pPr>
        <w:spacing w:line="252" w:lineRule="exact"/>
        <w:ind w:left="-142"/>
      </w:pPr>
      <w:r w:rsidRPr="005E4509">
        <w:t>The Office of the IGEM has established the Standard for Disaster Management in</w:t>
      </w:r>
      <w:r w:rsidRPr="005E4509">
        <w:rPr>
          <w:spacing w:val="-28"/>
        </w:rPr>
        <w:t xml:space="preserve"> </w:t>
      </w:r>
      <w:r w:rsidRPr="005E4509">
        <w:t>Queensland (the Standard),</w:t>
      </w:r>
      <w:r w:rsidRPr="005E4509">
        <w:rPr>
          <w:spacing w:val="-1"/>
        </w:rPr>
        <w:t xml:space="preserve"> </w:t>
      </w:r>
      <w:r w:rsidRPr="005E4509">
        <w:t>which forms part of the Emergency Management</w:t>
      </w:r>
      <w:r w:rsidR="00AB2417">
        <w:t xml:space="preserve"> Assurance Framework</w:t>
      </w:r>
      <w:r w:rsidR="00704D7F">
        <w:t xml:space="preserve"> (the Framework)</w:t>
      </w:r>
      <w:r w:rsidR="00AB2417">
        <w:t xml:space="preserve">. The Office of the IGEM </w:t>
      </w:r>
      <w:r w:rsidRPr="005E4509">
        <w:t>undertakes</w:t>
      </w:r>
      <w:r w:rsidRPr="005E4509">
        <w:rPr>
          <w:spacing w:val="-1"/>
        </w:rPr>
        <w:t xml:space="preserve"> </w:t>
      </w:r>
      <w:r w:rsidRPr="005E4509">
        <w:t>targeted reviews and system analysis to identify risks to emergency management</w:t>
      </w:r>
      <w:r w:rsidRPr="005E4509">
        <w:rPr>
          <w:spacing w:val="-24"/>
        </w:rPr>
        <w:t xml:space="preserve"> </w:t>
      </w:r>
      <w:r w:rsidRPr="005E4509">
        <w:t>planning,</w:t>
      </w:r>
      <w:r w:rsidRPr="005E4509">
        <w:rPr>
          <w:spacing w:val="-1"/>
        </w:rPr>
        <w:t xml:space="preserve"> </w:t>
      </w:r>
      <w:r w:rsidRPr="005E4509">
        <w:t>preparedness, response and recovery arrangements and recommends</w:t>
      </w:r>
      <w:r w:rsidRPr="005E4509">
        <w:rPr>
          <w:spacing w:val="-18"/>
        </w:rPr>
        <w:t xml:space="preserve"> </w:t>
      </w:r>
      <w:r w:rsidRPr="005E4509">
        <w:t>evidence-based</w:t>
      </w:r>
      <w:r w:rsidRPr="005E4509">
        <w:rPr>
          <w:spacing w:val="-1"/>
        </w:rPr>
        <w:t xml:space="preserve"> </w:t>
      </w:r>
      <w:r w:rsidRPr="005E4509">
        <w:t>improvements.</w:t>
      </w:r>
    </w:p>
    <w:p w14:paraId="066A24EE" w14:textId="77777777" w:rsidR="00B50C2F" w:rsidRDefault="00B50C2F">
      <w:pPr>
        <w:rPr>
          <w:rFonts w:ascii="Arial Bold" w:eastAsia="Calibri" w:hAnsi="Arial Bold"/>
          <w:b/>
          <w:bCs/>
          <w:sz w:val="28"/>
          <w14:ligatures w14:val="standardContextual"/>
        </w:rPr>
      </w:pPr>
      <w:r>
        <w:br w:type="page"/>
      </w:r>
    </w:p>
    <w:p w14:paraId="31177409" w14:textId="77777777" w:rsidR="00AE6BEA" w:rsidRPr="00341581" w:rsidRDefault="00AE6BEA" w:rsidP="00913AA5">
      <w:pPr>
        <w:pStyle w:val="Heading3"/>
      </w:pPr>
      <w:r>
        <w:lastRenderedPageBreak/>
        <w:t>Queensland Government’s o</w:t>
      </w:r>
      <w:r w:rsidRPr="00341581">
        <w:t>bjectives</w:t>
      </w:r>
    </w:p>
    <w:p w14:paraId="6BCB523C" w14:textId="77777777" w:rsidR="00AE6BEA" w:rsidRPr="009244FC" w:rsidRDefault="00AE6BEA" w:rsidP="001A7E9D">
      <w:pPr>
        <w:spacing w:line="252" w:lineRule="exact"/>
        <w:ind w:left="-142"/>
      </w:pPr>
      <w:r w:rsidRPr="009244FC">
        <w:t>The Queensland Government works closely with all Queenslanders to deliver its objectives for</w:t>
      </w:r>
      <w:r w:rsidRPr="009244FC">
        <w:rPr>
          <w:spacing w:val="-33"/>
        </w:rPr>
        <w:t xml:space="preserve"> </w:t>
      </w:r>
      <w:r w:rsidRPr="009244FC">
        <w:t>the community. Integrity, accountability and consultation underpin everything the Queensland Government does.</w:t>
      </w:r>
    </w:p>
    <w:p w14:paraId="721EC73F" w14:textId="77777777" w:rsidR="00AE6BEA" w:rsidRDefault="00AE6BEA" w:rsidP="002775EB">
      <w:pPr>
        <w:pStyle w:val="BodyText"/>
        <w:spacing w:before="1"/>
        <w:ind w:right="223"/>
        <w:jc w:val="center"/>
        <w:rPr>
          <w:highlight w:val="yellow"/>
        </w:rPr>
      </w:pPr>
      <w:r w:rsidRPr="0077204C">
        <w:rPr>
          <w:noProof/>
          <w:lang w:val="en-AU" w:eastAsia="en-AU"/>
        </w:rPr>
        <w:drawing>
          <wp:inline distT="0" distB="0" distL="0" distR="0" wp14:anchorId="067DA457" wp14:editId="1D165521">
            <wp:extent cx="4895850" cy="4895850"/>
            <wp:effectExtent l="0" t="0" r="0" b="0"/>
            <wp:docPr id="17" name="Picture 17" descr="C:\Users\DRGRAHAM\AppData\Local\Microsoft\Windows\Temporary Internet Files\Content.Outlook\QM9HVSUT\Govt objectives for the community diagram - transparent background PNG (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RGRAHAM\AppData\Local\Microsoft\Windows\Temporary Internet Files\Content.Outlook\QM9HVSUT\Govt objectives for the community diagram - transparent background PNG (0000000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95850" cy="4895850"/>
                    </a:xfrm>
                    <a:prstGeom prst="rect">
                      <a:avLst/>
                    </a:prstGeom>
                    <a:noFill/>
                    <a:ln>
                      <a:noFill/>
                    </a:ln>
                  </pic:spPr>
                </pic:pic>
              </a:graphicData>
            </a:graphic>
          </wp:inline>
        </w:drawing>
      </w:r>
    </w:p>
    <w:p w14:paraId="21CEBB0B" w14:textId="77777777" w:rsidR="00AE6BEA" w:rsidRDefault="00AE6BEA" w:rsidP="00AE6BEA">
      <w:pPr>
        <w:pStyle w:val="BodyText"/>
        <w:spacing w:before="1"/>
        <w:ind w:right="223"/>
        <w:rPr>
          <w:highlight w:val="yellow"/>
        </w:rPr>
      </w:pPr>
    </w:p>
    <w:p w14:paraId="5E671CDA" w14:textId="77777777" w:rsidR="001A7E9D" w:rsidRDefault="001A7E9D">
      <w:pPr>
        <w:rPr>
          <w:rFonts w:ascii="Arial Bold" w:eastAsia="Calibri" w:hAnsi="Arial Bold"/>
          <w:b/>
          <w:bCs/>
          <w:sz w:val="28"/>
          <w14:ligatures w14:val="standardContextual"/>
        </w:rPr>
      </w:pPr>
      <w:r>
        <w:br w:type="page"/>
      </w:r>
    </w:p>
    <w:p w14:paraId="5D37E71A" w14:textId="38743D79" w:rsidR="00AE6BEA" w:rsidRPr="00A250E2" w:rsidRDefault="00AE6BEA" w:rsidP="00913AA5">
      <w:pPr>
        <w:pStyle w:val="Heading3"/>
      </w:pPr>
      <w:r w:rsidRPr="00991936">
        <w:lastRenderedPageBreak/>
        <w:t xml:space="preserve">Our </w:t>
      </w:r>
      <w:r w:rsidRPr="00A250E2">
        <w:t>strategic objectives</w:t>
      </w:r>
    </w:p>
    <w:p w14:paraId="665E177F" w14:textId="77777777" w:rsidR="00550C45" w:rsidRPr="00650BD9" w:rsidRDefault="00550C45" w:rsidP="001A7E9D">
      <w:pPr>
        <w:spacing w:line="252" w:lineRule="exact"/>
        <w:ind w:left="-142"/>
        <w:rPr>
          <w:rFonts w:eastAsia="Cambria"/>
        </w:rPr>
      </w:pPr>
      <w:r>
        <w:rPr>
          <w:rFonts w:eastAsia="Cambria"/>
        </w:rPr>
        <w:t xml:space="preserve">The Office of the IGEM </w:t>
      </w:r>
      <w:r w:rsidRPr="00650BD9">
        <w:rPr>
          <w:rFonts w:eastAsia="Cambria"/>
        </w:rPr>
        <w:t>strategic objectives, as out</w:t>
      </w:r>
      <w:r>
        <w:rPr>
          <w:rFonts w:eastAsia="Cambria"/>
        </w:rPr>
        <w:t>lined in the Strategic Plan 2016</w:t>
      </w:r>
      <w:r w:rsidRPr="00650BD9">
        <w:rPr>
          <w:rFonts w:eastAsia="Cambria"/>
        </w:rPr>
        <w:t>-20</w:t>
      </w:r>
      <w:r>
        <w:rPr>
          <w:rFonts w:eastAsia="Cambria"/>
        </w:rPr>
        <w:t>20</w:t>
      </w:r>
      <w:r w:rsidRPr="00650BD9">
        <w:rPr>
          <w:rFonts w:eastAsia="Cambria"/>
        </w:rPr>
        <w:t>, support the Queensland Government’s objectives for the community of building safe, caring and connected communities and delivering quality frontline services.</w:t>
      </w:r>
    </w:p>
    <w:tbl>
      <w:tblPr>
        <w:tblStyle w:val="PlainTable210"/>
        <w:tblW w:w="10142" w:type="dxa"/>
        <w:tblInd w:w="-157" w:type="dxa"/>
        <w:tblLayout w:type="fixed"/>
        <w:tblLook w:val="04A0" w:firstRow="1" w:lastRow="0" w:firstColumn="1" w:lastColumn="0" w:noHBand="0" w:noVBand="1"/>
      </w:tblPr>
      <w:tblGrid>
        <w:gridCol w:w="414"/>
        <w:gridCol w:w="2988"/>
        <w:gridCol w:w="6740"/>
      </w:tblGrid>
      <w:tr w:rsidR="00550C45" w:rsidRPr="00650BD9" w14:paraId="512DC052" w14:textId="77777777" w:rsidTr="001A7E9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402" w:type="dxa"/>
            <w:gridSpan w:val="2"/>
            <w:tcBorders>
              <w:top w:val="single" w:sz="12" w:space="0" w:color="8A002E"/>
              <w:left w:val="single" w:sz="12" w:space="0" w:color="8A002E"/>
              <w:bottom w:val="nil"/>
            </w:tcBorders>
            <w:shd w:val="clear" w:color="auto" w:fill="AB054C"/>
          </w:tcPr>
          <w:p w14:paraId="42B83EED" w14:textId="77777777" w:rsidR="00550C45" w:rsidRPr="00650BD9" w:rsidRDefault="00550C45" w:rsidP="00D4140B">
            <w:pPr>
              <w:widowControl w:val="0"/>
              <w:spacing w:after="120"/>
              <w:ind w:right="612"/>
              <w:contextualSpacing/>
              <w:rPr>
                <w:rFonts w:eastAsia="Cambria"/>
                <w:color w:val="FFFFFF"/>
                <w:sz w:val="24"/>
              </w:rPr>
            </w:pPr>
            <w:r w:rsidRPr="00650BD9">
              <w:rPr>
                <w:rFonts w:eastAsia="Cambria"/>
                <w:color w:val="FFFFFF"/>
                <w:sz w:val="24"/>
              </w:rPr>
              <w:t xml:space="preserve">Objective </w:t>
            </w:r>
          </w:p>
        </w:tc>
        <w:tc>
          <w:tcPr>
            <w:tcW w:w="6740" w:type="dxa"/>
            <w:tcBorders>
              <w:top w:val="single" w:sz="12" w:space="0" w:color="8A002E"/>
              <w:bottom w:val="nil"/>
              <w:right w:val="single" w:sz="12" w:space="0" w:color="8A002E"/>
            </w:tcBorders>
            <w:shd w:val="clear" w:color="auto" w:fill="AB054C"/>
          </w:tcPr>
          <w:p w14:paraId="3152D122" w14:textId="77777777" w:rsidR="00550C45" w:rsidRPr="00650BD9" w:rsidRDefault="00550C45" w:rsidP="00D4140B">
            <w:pPr>
              <w:widowControl w:val="0"/>
              <w:spacing w:after="120"/>
              <w:ind w:right="612"/>
              <w:contextualSpacing/>
              <w:cnfStyle w:val="100000000000" w:firstRow="1" w:lastRow="0" w:firstColumn="0" w:lastColumn="0" w:oddVBand="0" w:evenVBand="0" w:oddHBand="0" w:evenHBand="0" w:firstRowFirstColumn="0" w:firstRowLastColumn="0" w:lastRowFirstColumn="0" w:lastRowLastColumn="0"/>
              <w:rPr>
                <w:rFonts w:eastAsia="Cambria"/>
                <w:color w:val="FFFFFF"/>
                <w:sz w:val="24"/>
              </w:rPr>
            </w:pPr>
            <w:r w:rsidRPr="00650BD9">
              <w:rPr>
                <w:rFonts w:eastAsia="Cambria"/>
                <w:color w:val="FFFFFF"/>
                <w:sz w:val="24"/>
              </w:rPr>
              <w:t>Strategies</w:t>
            </w:r>
          </w:p>
        </w:tc>
      </w:tr>
      <w:tr w:rsidR="00550C45" w:rsidRPr="00650BD9" w14:paraId="5475E3EA" w14:textId="77777777" w:rsidTr="00EB4B72">
        <w:trPr>
          <w:cnfStyle w:val="000000100000" w:firstRow="0" w:lastRow="0" w:firstColumn="0" w:lastColumn="0" w:oddVBand="0" w:evenVBand="0" w:oddHBand="1" w:evenHBand="0" w:firstRowFirstColumn="0" w:firstRowLastColumn="0" w:lastRowFirstColumn="0" w:lastRowLastColumn="0"/>
          <w:trHeight w:val="1911"/>
        </w:trPr>
        <w:tc>
          <w:tcPr>
            <w:cnfStyle w:val="001000000000" w:firstRow="0" w:lastRow="0" w:firstColumn="1" w:lastColumn="0" w:oddVBand="0" w:evenVBand="0" w:oddHBand="0" w:evenHBand="0" w:firstRowFirstColumn="0" w:firstRowLastColumn="0" w:lastRowFirstColumn="0" w:lastRowLastColumn="0"/>
            <w:tcW w:w="414" w:type="dxa"/>
            <w:tcBorders>
              <w:top w:val="nil"/>
              <w:bottom w:val="single" w:sz="12" w:space="0" w:color="AB054C"/>
              <w:right w:val="nil"/>
            </w:tcBorders>
          </w:tcPr>
          <w:p w14:paraId="718ABBC5" w14:textId="77777777" w:rsidR="00EB4B72" w:rsidRDefault="00EB4B72" w:rsidP="00D4140B">
            <w:pPr>
              <w:widowControl w:val="0"/>
              <w:spacing w:after="120"/>
              <w:contextualSpacing/>
              <w:rPr>
                <w:rFonts w:eastAsia="Cambria"/>
              </w:rPr>
            </w:pPr>
          </w:p>
          <w:p w14:paraId="585C8C99" w14:textId="77777777" w:rsidR="00550C45" w:rsidRDefault="00550C45" w:rsidP="00D4140B">
            <w:pPr>
              <w:widowControl w:val="0"/>
              <w:spacing w:after="120"/>
              <w:contextualSpacing/>
              <w:rPr>
                <w:rFonts w:eastAsia="Cambria"/>
              </w:rPr>
            </w:pPr>
            <w:r w:rsidRPr="00650BD9">
              <w:rPr>
                <w:rFonts w:eastAsia="Cambria"/>
              </w:rPr>
              <w:t>1</w:t>
            </w:r>
          </w:p>
          <w:p w14:paraId="6337E1C1" w14:textId="77777777" w:rsidR="00EB4B72" w:rsidRPr="00650BD9" w:rsidRDefault="00EB4B72" w:rsidP="00D4140B">
            <w:pPr>
              <w:widowControl w:val="0"/>
              <w:spacing w:after="120"/>
              <w:contextualSpacing/>
              <w:rPr>
                <w:rFonts w:eastAsia="Cambria"/>
              </w:rPr>
            </w:pPr>
          </w:p>
        </w:tc>
        <w:tc>
          <w:tcPr>
            <w:tcW w:w="2988" w:type="dxa"/>
            <w:tcBorders>
              <w:top w:val="nil"/>
              <w:bottom w:val="single" w:sz="12" w:space="0" w:color="AB054C"/>
              <w:right w:val="nil"/>
            </w:tcBorders>
          </w:tcPr>
          <w:p w14:paraId="71DC8C64" w14:textId="6845DA8C" w:rsidR="00EB4B72" w:rsidRPr="00EB4B72" w:rsidRDefault="00550C45" w:rsidP="004438A5">
            <w:pPr>
              <w:widowControl w:val="0"/>
              <w:spacing w:before="240" w:after="120"/>
              <w:cnfStyle w:val="000000100000" w:firstRow="0" w:lastRow="0" w:firstColumn="0" w:lastColumn="0" w:oddVBand="0" w:evenVBand="0" w:oddHBand="1" w:evenHBand="0" w:firstRowFirstColumn="0" w:firstRowLastColumn="0" w:lastRowFirstColumn="0" w:lastRowLastColumn="0"/>
              <w:rPr>
                <w:rFonts w:eastAsia="Cambria"/>
                <w:i/>
              </w:rPr>
            </w:pPr>
            <w:r>
              <w:rPr>
                <w:rFonts w:eastAsia="Cambria"/>
                <w:i/>
              </w:rPr>
              <w:t>Government, stakeholders and the community receive independent assurance and advice about Queensland’s emergency management arrangements</w:t>
            </w:r>
            <w:r w:rsidRPr="00650BD9">
              <w:rPr>
                <w:rFonts w:eastAsia="Cambria"/>
                <w:i/>
              </w:rPr>
              <w:t>.</w:t>
            </w:r>
          </w:p>
        </w:tc>
        <w:tc>
          <w:tcPr>
            <w:tcW w:w="6740" w:type="dxa"/>
            <w:tcBorders>
              <w:top w:val="nil"/>
              <w:left w:val="nil"/>
              <w:bottom w:val="single" w:sz="12" w:space="0" w:color="AB054C"/>
            </w:tcBorders>
          </w:tcPr>
          <w:p w14:paraId="3502CC05" w14:textId="77777777" w:rsidR="00550C45" w:rsidRPr="00650BD9" w:rsidRDefault="00550C45" w:rsidP="004438A5">
            <w:pPr>
              <w:widowControl w:val="0"/>
              <w:numPr>
                <w:ilvl w:val="0"/>
                <w:numId w:val="8"/>
              </w:numPr>
              <w:tabs>
                <w:tab w:val="left" w:pos="1107"/>
              </w:tabs>
              <w:spacing w:before="240"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Embed</w:t>
            </w:r>
            <w:r w:rsidRPr="00650BD9">
              <w:rPr>
                <w:rFonts w:eastAsia="Cambria"/>
              </w:rPr>
              <w:t xml:space="preserve"> and validate the Emergency Management Assurance Framework in collaboration with stakeholders.</w:t>
            </w:r>
          </w:p>
          <w:p w14:paraId="4759A0AD" w14:textId="77777777" w:rsidR="00550C45" w:rsidRPr="00650BD9" w:rsidRDefault="00550C45" w:rsidP="004438A5">
            <w:pPr>
              <w:widowControl w:val="0"/>
              <w:numPr>
                <w:ilvl w:val="0"/>
                <w:numId w:val="8"/>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sidRPr="00650BD9">
              <w:rPr>
                <w:rFonts w:eastAsia="Cambria"/>
              </w:rPr>
              <w:t>Provide diligent oversight to ensure that accountabilities and responsibilities are known, understood and met across emergency management.</w:t>
            </w:r>
          </w:p>
        </w:tc>
      </w:tr>
      <w:tr w:rsidR="00550C45" w:rsidRPr="00650BD9" w14:paraId="28C41A68" w14:textId="77777777" w:rsidTr="001A7E9D">
        <w:tc>
          <w:tcPr>
            <w:cnfStyle w:val="001000000000" w:firstRow="0" w:lastRow="0" w:firstColumn="1" w:lastColumn="0" w:oddVBand="0" w:evenVBand="0" w:oddHBand="0" w:evenHBand="0" w:firstRowFirstColumn="0" w:firstRowLastColumn="0" w:lastRowFirstColumn="0" w:lastRowLastColumn="0"/>
            <w:tcW w:w="414" w:type="dxa"/>
            <w:tcBorders>
              <w:top w:val="single" w:sz="12" w:space="0" w:color="AB054C"/>
              <w:bottom w:val="single" w:sz="12" w:space="0" w:color="AB054C"/>
            </w:tcBorders>
          </w:tcPr>
          <w:p w14:paraId="72526DDF" w14:textId="77777777" w:rsidR="00EB4B72" w:rsidRDefault="00EB4B72" w:rsidP="00D4140B">
            <w:pPr>
              <w:widowControl w:val="0"/>
              <w:spacing w:after="120"/>
              <w:contextualSpacing/>
              <w:rPr>
                <w:rFonts w:eastAsia="Cambria"/>
              </w:rPr>
            </w:pPr>
          </w:p>
          <w:p w14:paraId="49B56465" w14:textId="77777777" w:rsidR="00550C45" w:rsidRPr="00650BD9" w:rsidRDefault="00550C45" w:rsidP="00D4140B">
            <w:pPr>
              <w:widowControl w:val="0"/>
              <w:spacing w:after="120"/>
              <w:contextualSpacing/>
              <w:rPr>
                <w:rFonts w:eastAsia="Cambria"/>
              </w:rPr>
            </w:pPr>
            <w:r w:rsidRPr="00650BD9">
              <w:rPr>
                <w:rFonts w:eastAsia="Cambria"/>
              </w:rPr>
              <w:t>2</w:t>
            </w:r>
          </w:p>
        </w:tc>
        <w:tc>
          <w:tcPr>
            <w:tcW w:w="2988" w:type="dxa"/>
            <w:tcBorders>
              <w:top w:val="single" w:sz="12" w:space="0" w:color="AB054C"/>
              <w:bottom w:val="single" w:sz="12" w:space="0" w:color="AB054C"/>
            </w:tcBorders>
          </w:tcPr>
          <w:p w14:paraId="08D5FDE3" w14:textId="77777777" w:rsidR="00EB4B72" w:rsidRDefault="00EB4B72" w:rsidP="00D4140B">
            <w:pPr>
              <w:widowControl w:val="0"/>
              <w:spacing w:after="120"/>
              <w:ind w:right="34"/>
              <w:contextualSpacing/>
              <w:cnfStyle w:val="000000000000" w:firstRow="0" w:lastRow="0" w:firstColumn="0" w:lastColumn="0" w:oddVBand="0" w:evenVBand="0" w:oddHBand="0" w:evenHBand="0" w:firstRowFirstColumn="0" w:firstRowLastColumn="0" w:lastRowFirstColumn="0" w:lastRowLastColumn="0"/>
              <w:rPr>
                <w:rFonts w:eastAsia="Cambria"/>
                <w:i/>
              </w:rPr>
            </w:pPr>
          </w:p>
          <w:p w14:paraId="4ED94F1B" w14:textId="77777777" w:rsidR="00550C45" w:rsidRPr="00650BD9" w:rsidRDefault="00550C45" w:rsidP="00D4140B">
            <w:pPr>
              <w:widowControl w:val="0"/>
              <w:spacing w:after="120"/>
              <w:ind w:right="34"/>
              <w:contextualSpacing/>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i/>
              </w:rPr>
              <w:t>A</w:t>
            </w:r>
            <w:r w:rsidRPr="00650BD9">
              <w:rPr>
                <w:rFonts w:eastAsia="Cambria"/>
                <w:i/>
              </w:rPr>
              <w:t xml:space="preserve">uthoritative reporting </w:t>
            </w:r>
            <w:r>
              <w:rPr>
                <w:rFonts w:eastAsia="Cambria"/>
                <w:i/>
              </w:rPr>
              <w:t>enhances accountability and improved community confidence and outcomes in emergency management.</w:t>
            </w:r>
          </w:p>
        </w:tc>
        <w:tc>
          <w:tcPr>
            <w:tcW w:w="6740" w:type="dxa"/>
            <w:tcBorders>
              <w:top w:val="single" w:sz="12" w:space="0" w:color="AB054C"/>
              <w:bottom w:val="single" w:sz="12" w:space="0" w:color="AB054C"/>
            </w:tcBorders>
          </w:tcPr>
          <w:p w14:paraId="01BCA58A" w14:textId="77777777" w:rsidR="00550C45" w:rsidRPr="00650BD9" w:rsidRDefault="00550C45" w:rsidP="004438A5">
            <w:pPr>
              <w:widowControl w:val="0"/>
              <w:numPr>
                <w:ilvl w:val="0"/>
                <w:numId w:val="8"/>
              </w:numPr>
              <w:tabs>
                <w:tab w:val="left" w:pos="1107"/>
              </w:tabs>
              <w:spacing w:before="240"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D</w:t>
            </w:r>
            <w:r w:rsidRPr="00650BD9">
              <w:rPr>
                <w:rFonts w:eastAsia="Cambria"/>
              </w:rPr>
              <w:t xml:space="preserve">esign and </w:t>
            </w:r>
            <w:r>
              <w:rPr>
                <w:rFonts w:eastAsia="Cambria"/>
              </w:rPr>
              <w:t>apply</w:t>
            </w:r>
            <w:r w:rsidRPr="00650BD9">
              <w:rPr>
                <w:rFonts w:eastAsia="Cambria"/>
              </w:rPr>
              <w:t xml:space="preserve"> assurance activities, tools and processes that are valued by our stakeholders and enable </w:t>
            </w:r>
            <w:r>
              <w:rPr>
                <w:rFonts w:eastAsia="Cambria"/>
              </w:rPr>
              <w:t xml:space="preserve">performance improvements, </w:t>
            </w:r>
            <w:r w:rsidRPr="00650BD9">
              <w:rPr>
                <w:rFonts w:eastAsia="Cambria"/>
              </w:rPr>
              <w:t>evaluation and reporting.</w:t>
            </w:r>
          </w:p>
          <w:p w14:paraId="3D2753BC" w14:textId="77777777" w:rsidR="00550C45" w:rsidRPr="00650BD9" w:rsidRDefault="00550C45" w:rsidP="00550C45">
            <w:pPr>
              <w:widowControl w:val="0"/>
              <w:numPr>
                <w:ilvl w:val="0"/>
                <w:numId w:val="8"/>
              </w:numPr>
              <w:tabs>
                <w:tab w:val="left" w:pos="1107"/>
              </w:tabs>
              <w:spacing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sidRPr="00650BD9">
              <w:rPr>
                <w:rFonts w:eastAsia="Cambria"/>
              </w:rPr>
              <w:t>Undertake targeted reviews and system analysis that identify risks, gaps and prioritise improvements on the basis of community outcomes.</w:t>
            </w:r>
          </w:p>
        </w:tc>
      </w:tr>
      <w:tr w:rsidR="00550C45" w:rsidRPr="00650BD9" w14:paraId="3EC5651E" w14:textId="77777777" w:rsidTr="001A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Borders>
              <w:top w:val="single" w:sz="12" w:space="0" w:color="AB054C"/>
              <w:bottom w:val="single" w:sz="12" w:space="0" w:color="AB054C"/>
            </w:tcBorders>
          </w:tcPr>
          <w:p w14:paraId="5F4E0736" w14:textId="77777777" w:rsidR="00EB4B72" w:rsidRDefault="00EB4B72" w:rsidP="00D4140B">
            <w:pPr>
              <w:widowControl w:val="0"/>
              <w:spacing w:after="120"/>
              <w:contextualSpacing/>
              <w:rPr>
                <w:rFonts w:eastAsia="Cambria"/>
              </w:rPr>
            </w:pPr>
          </w:p>
          <w:p w14:paraId="0635E0BA" w14:textId="77777777" w:rsidR="00550C45" w:rsidRPr="00650BD9" w:rsidRDefault="00550C45" w:rsidP="00D4140B">
            <w:pPr>
              <w:widowControl w:val="0"/>
              <w:spacing w:after="120"/>
              <w:contextualSpacing/>
              <w:rPr>
                <w:rFonts w:eastAsia="Cambria"/>
              </w:rPr>
            </w:pPr>
            <w:r w:rsidRPr="00650BD9">
              <w:rPr>
                <w:rFonts w:eastAsia="Cambria"/>
              </w:rPr>
              <w:t>3</w:t>
            </w:r>
          </w:p>
        </w:tc>
        <w:tc>
          <w:tcPr>
            <w:tcW w:w="2988" w:type="dxa"/>
            <w:tcBorders>
              <w:top w:val="single" w:sz="12" w:space="0" w:color="AB054C"/>
              <w:bottom w:val="single" w:sz="12" w:space="0" w:color="AB054C"/>
            </w:tcBorders>
          </w:tcPr>
          <w:p w14:paraId="61ABF4DF" w14:textId="77777777" w:rsidR="00EB4B72" w:rsidRDefault="00EB4B72" w:rsidP="00D4140B">
            <w:pPr>
              <w:widowControl w:val="0"/>
              <w:spacing w:after="120"/>
              <w:ind w:right="34"/>
              <w:contextualSpacing/>
              <w:cnfStyle w:val="000000100000" w:firstRow="0" w:lastRow="0" w:firstColumn="0" w:lastColumn="0" w:oddVBand="0" w:evenVBand="0" w:oddHBand="1" w:evenHBand="0" w:firstRowFirstColumn="0" w:firstRowLastColumn="0" w:lastRowFirstColumn="0" w:lastRowLastColumn="0"/>
              <w:rPr>
                <w:rFonts w:eastAsia="Cambria"/>
                <w:i/>
              </w:rPr>
            </w:pPr>
          </w:p>
          <w:p w14:paraId="5BFAE3FC" w14:textId="77777777" w:rsidR="00550C45" w:rsidRPr="00650BD9" w:rsidRDefault="00550C45" w:rsidP="00D4140B">
            <w:pPr>
              <w:widowControl w:val="0"/>
              <w:spacing w:after="120"/>
              <w:ind w:right="34"/>
              <w:contextualSpacing/>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i/>
              </w:rPr>
              <w:t xml:space="preserve">Drive </w:t>
            </w:r>
            <w:r w:rsidRPr="00650BD9">
              <w:rPr>
                <w:rFonts w:eastAsia="Cambria"/>
                <w:i/>
              </w:rPr>
              <w:t xml:space="preserve">a culture of excellence </w:t>
            </w:r>
            <w:r>
              <w:rPr>
                <w:rFonts w:eastAsia="Cambria"/>
                <w:i/>
              </w:rPr>
              <w:t xml:space="preserve">and innovation across the </w:t>
            </w:r>
            <w:r w:rsidRPr="00650BD9">
              <w:rPr>
                <w:rFonts w:eastAsia="Cambria"/>
                <w:i/>
              </w:rPr>
              <w:t>emergency management sector by connecting stakeholders, creating partnerships and marshalling expertise.</w:t>
            </w:r>
          </w:p>
        </w:tc>
        <w:tc>
          <w:tcPr>
            <w:tcW w:w="6740" w:type="dxa"/>
            <w:tcBorders>
              <w:top w:val="single" w:sz="12" w:space="0" w:color="AB054C"/>
              <w:bottom w:val="single" w:sz="12" w:space="0" w:color="AB054C"/>
            </w:tcBorders>
          </w:tcPr>
          <w:p w14:paraId="43091F07" w14:textId="77777777" w:rsidR="00550C45" w:rsidRPr="00650BD9" w:rsidRDefault="00550C45" w:rsidP="004438A5">
            <w:pPr>
              <w:widowControl w:val="0"/>
              <w:numPr>
                <w:ilvl w:val="0"/>
                <w:numId w:val="9"/>
              </w:numPr>
              <w:tabs>
                <w:tab w:val="left" w:pos="1107"/>
              </w:tabs>
              <w:spacing w:before="240"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Encourage and harness </w:t>
            </w:r>
            <w:r w:rsidRPr="00650BD9">
              <w:rPr>
                <w:rFonts w:eastAsia="Cambria"/>
              </w:rPr>
              <w:t>trusted partnerships</w:t>
            </w:r>
            <w:r>
              <w:rPr>
                <w:rFonts w:eastAsia="Cambria"/>
              </w:rPr>
              <w:t xml:space="preserve">, enabled by transparent systems and processes that </w:t>
            </w:r>
            <w:r w:rsidRPr="00650BD9">
              <w:rPr>
                <w:rFonts w:eastAsia="Cambria"/>
              </w:rPr>
              <w:t>promote innovation, interoperability, consultation and knowledge transfer across the emergency management sector.</w:t>
            </w:r>
          </w:p>
          <w:p w14:paraId="4FF81946" w14:textId="77777777" w:rsidR="00550C45" w:rsidRPr="00650BD9" w:rsidRDefault="00550C45" w:rsidP="00550C45">
            <w:pPr>
              <w:widowControl w:val="0"/>
              <w:numPr>
                <w:ilvl w:val="0"/>
                <w:numId w:val="9"/>
              </w:numPr>
              <w:tabs>
                <w:tab w:val="left" w:pos="1107"/>
              </w:tabs>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Connect and engage with stakeholders through key</w:t>
            </w:r>
            <w:r w:rsidRPr="00650BD9">
              <w:rPr>
                <w:rFonts w:eastAsia="Cambria"/>
              </w:rPr>
              <w:t xml:space="preserve"> platforms </w:t>
            </w:r>
            <w:r>
              <w:rPr>
                <w:rFonts w:eastAsia="Cambria"/>
              </w:rPr>
              <w:t xml:space="preserve">that enable timely and open </w:t>
            </w:r>
            <w:r w:rsidRPr="00650BD9">
              <w:rPr>
                <w:rFonts w:eastAsia="Cambria"/>
              </w:rPr>
              <w:t>communication</w:t>
            </w:r>
            <w:r>
              <w:rPr>
                <w:rFonts w:eastAsia="Cambria"/>
              </w:rPr>
              <w:t xml:space="preserve"> and help us to understand their needs.</w:t>
            </w:r>
          </w:p>
          <w:p w14:paraId="7BEE6213" w14:textId="77777777" w:rsidR="00550C45" w:rsidRPr="00650BD9" w:rsidRDefault="00550C45" w:rsidP="00550C45">
            <w:pPr>
              <w:widowControl w:val="0"/>
              <w:numPr>
                <w:ilvl w:val="0"/>
                <w:numId w:val="9"/>
              </w:numPr>
              <w:tabs>
                <w:tab w:val="left" w:pos="1107"/>
              </w:tabs>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Integrate </w:t>
            </w:r>
            <w:r w:rsidRPr="00650BD9">
              <w:rPr>
                <w:rFonts w:eastAsia="Cambria"/>
              </w:rPr>
              <w:t>lessons identified, research</w:t>
            </w:r>
            <w:r>
              <w:rPr>
                <w:rFonts w:eastAsia="Cambria"/>
              </w:rPr>
              <w:t xml:space="preserve">, analysis and good practice into the provision of evidence-based emergency </w:t>
            </w:r>
            <w:r w:rsidRPr="00650BD9">
              <w:rPr>
                <w:rFonts w:eastAsia="Cambria"/>
              </w:rPr>
              <w:t xml:space="preserve">management </w:t>
            </w:r>
            <w:r>
              <w:rPr>
                <w:rFonts w:eastAsia="Cambria"/>
              </w:rPr>
              <w:t>policy and advice</w:t>
            </w:r>
            <w:r w:rsidRPr="00650BD9">
              <w:rPr>
                <w:rFonts w:eastAsia="Cambria"/>
              </w:rPr>
              <w:t>.</w:t>
            </w:r>
          </w:p>
          <w:p w14:paraId="03357655" w14:textId="77777777" w:rsidR="00550C45" w:rsidRDefault="00550C45" w:rsidP="00550C45">
            <w:pPr>
              <w:widowControl w:val="0"/>
              <w:numPr>
                <w:ilvl w:val="0"/>
                <w:numId w:val="9"/>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Provide timely, clear and helpful information and advice that enhances links between emergency management and interdependent policy and programs.</w:t>
            </w:r>
          </w:p>
          <w:p w14:paraId="35093F12" w14:textId="77777777" w:rsidR="00550C45" w:rsidRPr="00650BD9" w:rsidRDefault="00550C45" w:rsidP="00550C45">
            <w:pPr>
              <w:widowControl w:val="0"/>
              <w:numPr>
                <w:ilvl w:val="0"/>
                <w:numId w:val="9"/>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Promote a coordinated strategic direction for emergency management in Queensland. </w:t>
            </w:r>
          </w:p>
        </w:tc>
      </w:tr>
      <w:tr w:rsidR="00550C45" w:rsidRPr="00650BD9" w14:paraId="15802452" w14:textId="77777777" w:rsidTr="001A7E9D">
        <w:tc>
          <w:tcPr>
            <w:cnfStyle w:val="001000000000" w:firstRow="0" w:lastRow="0" w:firstColumn="1" w:lastColumn="0" w:oddVBand="0" w:evenVBand="0" w:oddHBand="0" w:evenHBand="0" w:firstRowFirstColumn="0" w:firstRowLastColumn="0" w:lastRowFirstColumn="0" w:lastRowLastColumn="0"/>
            <w:tcW w:w="414" w:type="dxa"/>
            <w:tcBorders>
              <w:top w:val="single" w:sz="12" w:space="0" w:color="AB054C"/>
              <w:bottom w:val="single" w:sz="12" w:space="0" w:color="AB054C"/>
            </w:tcBorders>
          </w:tcPr>
          <w:p w14:paraId="4F777E8E" w14:textId="77777777" w:rsidR="00EB4B72" w:rsidRDefault="00EB4B72" w:rsidP="00D4140B">
            <w:pPr>
              <w:widowControl w:val="0"/>
              <w:spacing w:after="120"/>
              <w:contextualSpacing/>
              <w:rPr>
                <w:rFonts w:eastAsia="Cambria"/>
              </w:rPr>
            </w:pPr>
          </w:p>
          <w:p w14:paraId="35C4F6A2" w14:textId="77777777" w:rsidR="00550C45" w:rsidRPr="00650BD9" w:rsidRDefault="00550C45" w:rsidP="00D4140B">
            <w:pPr>
              <w:widowControl w:val="0"/>
              <w:spacing w:after="120"/>
              <w:contextualSpacing/>
              <w:rPr>
                <w:rFonts w:eastAsia="Cambria"/>
              </w:rPr>
            </w:pPr>
            <w:r w:rsidRPr="00650BD9">
              <w:rPr>
                <w:rFonts w:eastAsia="Cambria"/>
              </w:rPr>
              <w:t>4</w:t>
            </w:r>
          </w:p>
        </w:tc>
        <w:tc>
          <w:tcPr>
            <w:tcW w:w="2988" w:type="dxa"/>
            <w:tcBorders>
              <w:top w:val="single" w:sz="12" w:space="0" w:color="AB054C"/>
              <w:bottom w:val="single" w:sz="12" w:space="0" w:color="AB054C"/>
            </w:tcBorders>
          </w:tcPr>
          <w:p w14:paraId="60366A4F" w14:textId="363EE28E" w:rsidR="00550C45" w:rsidRPr="00650BD9" w:rsidRDefault="00EB4B72" w:rsidP="00D4140B">
            <w:pPr>
              <w:spacing w:before="0" w:after="120"/>
              <w:ind w:right="612"/>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i/>
              </w:rPr>
              <w:br/>
            </w:r>
            <w:r w:rsidR="00550C45">
              <w:rPr>
                <w:rFonts w:eastAsia="Cambria"/>
                <w:i/>
              </w:rPr>
              <w:t>A high-performing, agile, engaged and connected workforce that consistently delivers quality services</w:t>
            </w:r>
            <w:r w:rsidR="00550C45" w:rsidRPr="00650BD9">
              <w:rPr>
                <w:rFonts w:eastAsia="Cambria"/>
                <w:i/>
              </w:rPr>
              <w:t>.</w:t>
            </w:r>
          </w:p>
        </w:tc>
        <w:tc>
          <w:tcPr>
            <w:tcW w:w="6740" w:type="dxa"/>
            <w:tcBorders>
              <w:top w:val="single" w:sz="12" w:space="0" w:color="AB054C"/>
              <w:bottom w:val="single" w:sz="12" w:space="0" w:color="AB054C"/>
            </w:tcBorders>
          </w:tcPr>
          <w:p w14:paraId="22994127" w14:textId="77777777" w:rsidR="00550C45" w:rsidRPr="00650BD9" w:rsidRDefault="00550C45" w:rsidP="004438A5">
            <w:pPr>
              <w:widowControl w:val="0"/>
              <w:numPr>
                <w:ilvl w:val="0"/>
                <w:numId w:val="9"/>
              </w:numPr>
              <w:tabs>
                <w:tab w:val="left" w:pos="1107"/>
              </w:tabs>
              <w:spacing w:before="240"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 xml:space="preserve">Strengthen workforce </w:t>
            </w:r>
            <w:r w:rsidRPr="00650BD9">
              <w:rPr>
                <w:rFonts w:eastAsia="Cambria"/>
              </w:rPr>
              <w:t>capability</w:t>
            </w:r>
            <w:r>
              <w:rPr>
                <w:rFonts w:eastAsia="Cambria"/>
              </w:rPr>
              <w:t>, talent and agility</w:t>
            </w:r>
            <w:r w:rsidRPr="00650BD9">
              <w:rPr>
                <w:rFonts w:eastAsia="Cambria"/>
              </w:rPr>
              <w:t>.</w:t>
            </w:r>
          </w:p>
          <w:p w14:paraId="6C653095" w14:textId="77777777" w:rsidR="00550C45" w:rsidRPr="00650BD9" w:rsidRDefault="00550C45" w:rsidP="00550C45">
            <w:pPr>
              <w:widowControl w:val="0"/>
              <w:numPr>
                <w:ilvl w:val="0"/>
                <w:numId w:val="9"/>
              </w:numPr>
              <w:tabs>
                <w:tab w:val="left" w:pos="1107"/>
              </w:tabs>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 xml:space="preserve">Foster a </w:t>
            </w:r>
            <w:r w:rsidRPr="00650BD9">
              <w:rPr>
                <w:rFonts w:eastAsia="Cambria"/>
              </w:rPr>
              <w:t>culture of high</w:t>
            </w:r>
            <w:r>
              <w:rPr>
                <w:rFonts w:eastAsia="Cambria"/>
              </w:rPr>
              <w:t>-</w:t>
            </w:r>
            <w:r w:rsidRPr="00650BD9">
              <w:rPr>
                <w:rFonts w:eastAsia="Cambria"/>
              </w:rPr>
              <w:t xml:space="preserve">performance that models </w:t>
            </w:r>
            <w:r>
              <w:rPr>
                <w:rFonts w:eastAsia="Cambria"/>
              </w:rPr>
              <w:t xml:space="preserve">our values and </w:t>
            </w:r>
            <w:r w:rsidRPr="00650BD9">
              <w:rPr>
                <w:rFonts w:eastAsia="Cambria"/>
              </w:rPr>
              <w:t xml:space="preserve">promotes </w:t>
            </w:r>
            <w:r>
              <w:rPr>
                <w:rFonts w:eastAsia="Cambria"/>
              </w:rPr>
              <w:t xml:space="preserve">transparency, </w:t>
            </w:r>
            <w:r w:rsidRPr="00650BD9">
              <w:rPr>
                <w:rFonts w:eastAsia="Cambria"/>
              </w:rPr>
              <w:t>fairnes</w:t>
            </w:r>
            <w:r>
              <w:rPr>
                <w:rFonts w:eastAsia="Cambria"/>
              </w:rPr>
              <w:t>s, integrity and accountability in all that we do.</w:t>
            </w:r>
          </w:p>
          <w:p w14:paraId="0105C5E9" w14:textId="77777777" w:rsidR="00550C45" w:rsidRPr="00650BD9" w:rsidRDefault="00550C45" w:rsidP="00550C45">
            <w:pPr>
              <w:widowControl w:val="0"/>
              <w:numPr>
                <w:ilvl w:val="0"/>
                <w:numId w:val="9"/>
              </w:numPr>
              <w:tabs>
                <w:tab w:val="left" w:pos="1107"/>
              </w:tabs>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Actively champion inclusion and diversity, collaboration and authentic leadership</w:t>
            </w:r>
            <w:r w:rsidRPr="00650BD9">
              <w:rPr>
                <w:rFonts w:eastAsia="Cambria"/>
              </w:rPr>
              <w:t>.</w:t>
            </w:r>
          </w:p>
          <w:p w14:paraId="55861FD5" w14:textId="77777777" w:rsidR="00550C45" w:rsidRPr="00650BD9" w:rsidRDefault="00550C45" w:rsidP="00550C45">
            <w:pPr>
              <w:widowControl w:val="0"/>
              <w:numPr>
                <w:ilvl w:val="0"/>
                <w:numId w:val="9"/>
              </w:numPr>
              <w:tabs>
                <w:tab w:val="left" w:pos="1107"/>
              </w:tabs>
              <w:spacing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 xml:space="preserve">Support innovation, quality assurance and excellence through processes and systems that support data management and information sharing. </w:t>
            </w:r>
          </w:p>
        </w:tc>
      </w:tr>
    </w:tbl>
    <w:p w14:paraId="57FE91F8" w14:textId="77777777" w:rsidR="00FB580E" w:rsidRDefault="00FB580E">
      <w:pPr>
        <w:rPr>
          <w:rFonts w:ascii="Arial Bold" w:eastAsia="Calibri" w:hAnsi="Arial Bold"/>
          <w:b/>
          <w:bCs/>
          <w:sz w:val="28"/>
          <w14:ligatures w14:val="standardContextual"/>
        </w:rPr>
      </w:pPr>
      <w:r>
        <w:br w:type="page"/>
      </w:r>
    </w:p>
    <w:p w14:paraId="3955CD6D" w14:textId="706B1B2D" w:rsidR="008547AA" w:rsidRDefault="008547AA" w:rsidP="00913AA5">
      <w:pPr>
        <w:pStyle w:val="Heading3"/>
      </w:pPr>
      <w:r>
        <w:lastRenderedPageBreak/>
        <w:t>Our values</w:t>
      </w:r>
    </w:p>
    <w:p w14:paraId="2BB69269" w14:textId="77777777" w:rsidR="00AE6BEA" w:rsidRPr="00A250E2" w:rsidRDefault="00AE6BEA" w:rsidP="001A7E9D">
      <w:pPr>
        <w:pStyle w:val="BodyText"/>
        <w:ind w:left="-142"/>
      </w:pPr>
      <w:r w:rsidRPr="00A250E2">
        <w:t xml:space="preserve">The Office of the IGEM’s </w:t>
      </w:r>
      <w:r>
        <w:t xml:space="preserve">values </w:t>
      </w:r>
      <w:r w:rsidRPr="00A250E2">
        <w:t>align with the Queensland Public Service values.</w:t>
      </w:r>
    </w:p>
    <w:tbl>
      <w:tblPr>
        <w:tblStyle w:val="TableGrid10"/>
        <w:tblW w:w="1023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9"/>
        <w:gridCol w:w="8615"/>
      </w:tblGrid>
      <w:tr w:rsidR="00654152" w:rsidRPr="00654152" w14:paraId="41E5F733" w14:textId="77777777" w:rsidTr="001A7E9D">
        <w:tc>
          <w:tcPr>
            <w:tcW w:w="1619" w:type="dxa"/>
          </w:tcPr>
          <w:p w14:paraId="161B8862" w14:textId="77777777" w:rsidR="00654152" w:rsidRPr="00654152" w:rsidRDefault="00654152" w:rsidP="00654152">
            <w:pPr>
              <w:spacing w:before="194"/>
              <w:ind w:right="996"/>
              <w:jc w:val="center"/>
              <w:outlineLvl w:val="8"/>
              <w:rPr>
                <w:rFonts w:eastAsia="Arial"/>
                <w:b/>
                <w:bCs/>
                <w:highlight w:val="green"/>
              </w:rPr>
            </w:pPr>
            <w:r w:rsidRPr="00654152">
              <w:rPr>
                <w:rFonts w:eastAsia="Arial"/>
                <w:b/>
                <w:bCs/>
                <w:noProof/>
                <w:position w:val="-24"/>
                <w:sz w:val="20"/>
                <w:lang w:val="en-AU" w:eastAsia="en-AU"/>
              </w:rPr>
              <w:drawing>
                <wp:inline distT="0" distB="0" distL="0" distR="0" wp14:anchorId="7CCC9D50" wp14:editId="50BC0D75">
                  <wp:extent cx="779525" cy="779526"/>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54" cstate="print"/>
                          <a:stretch>
                            <a:fillRect/>
                          </a:stretch>
                        </pic:blipFill>
                        <pic:spPr>
                          <a:xfrm>
                            <a:off x="0" y="0"/>
                            <a:ext cx="779525" cy="779526"/>
                          </a:xfrm>
                          <a:prstGeom prst="rect">
                            <a:avLst/>
                          </a:prstGeom>
                        </pic:spPr>
                      </pic:pic>
                    </a:graphicData>
                  </a:graphic>
                </wp:inline>
              </w:drawing>
            </w:r>
          </w:p>
        </w:tc>
        <w:tc>
          <w:tcPr>
            <w:tcW w:w="8615" w:type="dxa"/>
          </w:tcPr>
          <w:p w14:paraId="394BE0F5" w14:textId="77777777" w:rsidR="00654152" w:rsidRPr="00654152" w:rsidRDefault="00654152" w:rsidP="00654152">
            <w:pPr>
              <w:ind w:right="996"/>
              <w:outlineLvl w:val="8"/>
              <w:rPr>
                <w:rFonts w:eastAsia="Arial"/>
                <w:b/>
                <w:bCs/>
              </w:rPr>
            </w:pPr>
          </w:p>
          <w:p w14:paraId="2F01EA2D" w14:textId="77777777" w:rsidR="00654152" w:rsidRPr="00654152" w:rsidRDefault="00654152" w:rsidP="00654152">
            <w:pPr>
              <w:ind w:right="996"/>
              <w:outlineLvl w:val="8"/>
              <w:rPr>
                <w:rFonts w:eastAsia="Arial"/>
                <w:b/>
                <w:bCs/>
              </w:rPr>
            </w:pPr>
            <w:r w:rsidRPr="00654152">
              <w:rPr>
                <w:rFonts w:eastAsia="Arial"/>
                <w:b/>
                <w:bCs/>
              </w:rPr>
              <w:t>Customers</w:t>
            </w:r>
            <w:r w:rsidRPr="00654152">
              <w:rPr>
                <w:rFonts w:eastAsia="Arial"/>
                <w:b/>
                <w:bCs/>
                <w:spacing w:val="-5"/>
              </w:rPr>
              <w:t xml:space="preserve"> </w:t>
            </w:r>
            <w:r w:rsidRPr="00654152">
              <w:rPr>
                <w:rFonts w:eastAsia="Arial"/>
                <w:b/>
                <w:bCs/>
              </w:rPr>
              <w:t>first</w:t>
            </w:r>
          </w:p>
          <w:p w14:paraId="77818BA6" w14:textId="77777777" w:rsidR="00654152" w:rsidRPr="00654152" w:rsidRDefault="00654152" w:rsidP="006D5DCC">
            <w:pPr>
              <w:numPr>
                <w:ilvl w:val="0"/>
                <w:numId w:val="11"/>
              </w:numPr>
              <w:tabs>
                <w:tab w:val="left" w:pos="590"/>
              </w:tabs>
              <w:ind w:right="513"/>
              <w:rPr>
                <w:rFonts w:eastAsia="Arial"/>
              </w:rPr>
            </w:pPr>
            <w:r w:rsidRPr="00654152">
              <w:rPr>
                <w:rFonts w:eastAsia="Calibri" w:hAnsi="Calibri"/>
              </w:rPr>
              <w:t>Know</w:t>
            </w:r>
            <w:r w:rsidRPr="00654152">
              <w:rPr>
                <w:rFonts w:eastAsia="Calibri" w:hAnsi="Calibri"/>
                <w:spacing w:val="-6"/>
              </w:rPr>
              <w:t xml:space="preserve"> </w:t>
            </w:r>
            <w:r w:rsidRPr="00654152">
              <w:rPr>
                <w:rFonts w:eastAsia="Calibri" w:hAnsi="Calibri"/>
              </w:rPr>
              <w:t>your customers</w:t>
            </w:r>
          </w:p>
          <w:p w14:paraId="3FD74E33" w14:textId="77777777" w:rsidR="00654152" w:rsidRPr="00654152" w:rsidRDefault="00654152" w:rsidP="006D5DCC">
            <w:pPr>
              <w:numPr>
                <w:ilvl w:val="0"/>
                <w:numId w:val="11"/>
              </w:numPr>
              <w:tabs>
                <w:tab w:val="left" w:pos="590"/>
              </w:tabs>
              <w:ind w:right="371"/>
              <w:rPr>
                <w:rFonts w:eastAsia="Arial"/>
              </w:rPr>
            </w:pPr>
            <w:r w:rsidRPr="00654152">
              <w:rPr>
                <w:rFonts w:eastAsia="Calibri" w:hAnsi="Calibri"/>
              </w:rPr>
              <w:t>Deliver</w:t>
            </w:r>
            <w:r w:rsidRPr="00654152">
              <w:rPr>
                <w:rFonts w:eastAsia="Calibri" w:hAnsi="Calibri"/>
                <w:spacing w:val="-5"/>
              </w:rPr>
              <w:t xml:space="preserve"> </w:t>
            </w:r>
            <w:r w:rsidRPr="00654152">
              <w:rPr>
                <w:rFonts w:eastAsia="Calibri" w:hAnsi="Calibri"/>
              </w:rPr>
              <w:t>what matters</w:t>
            </w:r>
          </w:p>
          <w:p w14:paraId="41DFCDC6" w14:textId="77777777" w:rsidR="00654152" w:rsidRPr="00654152" w:rsidRDefault="00654152" w:rsidP="006D5DCC">
            <w:pPr>
              <w:numPr>
                <w:ilvl w:val="0"/>
                <w:numId w:val="11"/>
              </w:numPr>
              <w:tabs>
                <w:tab w:val="left" w:pos="590"/>
              </w:tabs>
              <w:ind w:right="371"/>
              <w:rPr>
                <w:rFonts w:ascii="Calibri" w:eastAsia="Calibri" w:hAnsi="Calibri"/>
              </w:rPr>
            </w:pPr>
            <w:r w:rsidRPr="00654152">
              <w:rPr>
                <w:rFonts w:eastAsia="Calibri" w:hAnsi="Calibri"/>
              </w:rPr>
              <w:t>Make decisions with empathy</w:t>
            </w:r>
          </w:p>
        </w:tc>
      </w:tr>
      <w:tr w:rsidR="00654152" w:rsidRPr="00654152" w14:paraId="0DBDA556" w14:textId="77777777" w:rsidTr="001A7E9D">
        <w:tc>
          <w:tcPr>
            <w:tcW w:w="1619" w:type="dxa"/>
          </w:tcPr>
          <w:p w14:paraId="2E494A4D" w14:textId="77777777" w:rsidR="00654152" w:rsidRPr="00654152" w:rsidRDefault="00654152" w:rsidP="00654152">
            <w:pPr>
              <w:spacing w:before="194"/>
              <w:ind w:right="996"/>
              <w:outlineLvl w:val="8"/>
              <w:rPr>
                <w:rFonts w:eastAsia="Arial"/>
                <w:b/>
                <w:bCs/>
                <w:highlight w:val="green"/>
              </w:rPr>
            </w:pPr>
            <w:r w:rsidRPr="00654152">
              <w:rPr>
                <w:rFonts w:eastAsia="Arial"/>
                <w:b/>
                <w:bCs/>
                <w:noProof/>
                <w:position w:val="-23"/>
                <w:sz w:val="20"/>
                <w:lang w:val="en-AU" w:eastAsia="en-AU"/>
              </w:rPr>
              <w:drawing>
                <wp:inline distT="0" distB="0" distL="0" distR="0" wp14:anchorId="595D2409" wp14:editId="653C41A3">
                  <wp:extent cx="765047" cy="766952"/>
                  <wp:effectExtent l="0" t="0" r="0" b="0"/>
                  <wp:docPr id="2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55" cstate="print"/>
                          <a:stretch>
                            <a:fillRect/>
                          </a:stretch>
                        </pic:blipFill>
                        <pic:spPr>
                          <a:xfrm>
                            <a:off x="0" y="0"/>
                            <a:ext cx="765047" cy="766952"/>
                          </a:xfrm>
                          <a:prstGeom prst="rect">
                            <a:avLst/>
                          </a:prstGeom>
                        </pic:spPr>
                      </pic:pic>
                    </a:graphicData>
                  </a:graphic>
                </wp:inline>
              </w:drawing>
            </w:r>
          </w:p>
        </w:tc>
        <w:tc>
          <w:tcPr>
            <w:tcW w:w="8615" w:type="dxa"/>
          </w:tcPr>
          <w:p w14:paraId="4CB43F98" w14:textId="77777777" w:rsidR="00654152" w:rsidRPr="00654152" w:rsidRDefault="00654152" w:rsidP="00654152">
            <w:pPr>
              <w:ind w:right="996"/>
              <w:outlineLvl w:val="8"/>
              <w:rPr>
                <w:rFonts w:eastAsia="Arial"/>
                <w:b/>
                <w:bCs/>
              </w:rPr>
            </w:pPr>
          </w:p>
          <w:p w14:paraId="39F878F8" w14:textId="77777777" w:rsidR="00654152" w:rsidRPr="00654152" w:rsidRDefault="00654152" w:rsidP="00654152">
            <w:pPr>
              <w:ind w:right="996"/>
              <w:outlineLvl w:val="8"/>
              <w:rPr>
                <w:rFonts w:eastAsia="Arial"/>
                <w:b/>
                <w:bCs/>
              </w:rPr>
            </w:pPr>
            <w:r w:rsidRPr="00654152">
              <w:rPr>
                <w:rFonts w:eastAsia="Arial"/>
                <w:b/>
                <w:bCs/>
              </w:rPr>
              <w:t>Ideas into</w:t>
            </w:r>
            <w:r w:rsidRPr="00654152">
              <w:rPr>
                <w:rFonts w:eastAsia="Arial"/>
                <w:b/>
                <w:bCs/>
                <w:spacing w:val="-4"/>
              </w:rPr>
              <w:t xml:space="preserve"> </w:t>
            </w:r>
            <w:r w:rsidRPr="00654152">
              <w:rPr>
                <w:rFonts w:eastAsia="Arial"/>
                <w:b/>
                <w:bCs/>
              </w:rPr>
              <w:t>action</w:t>
            </w:r>
          </w:p>
          <w:p w14:paraId="0C459844"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Challenge the norm and suggest solutions</w:t>
            </w:r>
          </w:p>
          <w:p w14:paraId="64EF17D5"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Encourage and embrace new ideas</w:t>
            </w:r>
          </w:p>
          <w:p w14:paraId="437229E2" w14:textId="77777777" w:rsidR="00654152" w:rsidRPr="00654152" w:rsidRDefault="00654152" w:rsidP="006D5DCC">
            <w:pPr>
              <w:numPr>
                <w:ilvl w:val="0"/>
                <w:numId w:val="11"/>
              </w:numPr>
              <w:tabs>
                <w:tab w:val="left" w:pos="590"/>
              </w:tabs>
              <w:ind w:right="513"/>
              <w:rPr>
                <w:rFonts w:ascii="Calibri" w:eastAsia="Calibri" w:hAnsi="Calibri"/>
              </w:rPr>
            </w:pPr>
            <w:r w:rsidRPr="00654152">
              <w:rPr>
                <w:rFonts w:eastAsia="Calibri" w:hAnsi="Calibri"/>
              </w:rPr>
              <w:t>Work across boundaries</w:t>
            </w:r>
          </w:p>
        </w:tc>
      </w:tr>
      <w:tr w:rsidR="00654152" w:rsidRPr="00654152" w14:paraId="66481390" w14:textId="77777777" w:rsidTr="001A7E9D">
        <w:tc>
          <w:tcPr>
            <w:tcW w:w="1619" w:type="dxa"/>
          </w:tcPr>
          <w:p w14:paraId="3F7C8CBD" w14:textId="77777777" w:rsidR="00654152" w:rsidRPr="00654152" w:rsidRDefault="00654152" w:rsidP="00654152">
            <w:pPr>
              <w:spacing w:before="194"/>
              <w:ind w:right="996"/>
              <w:outlineLvl w:val="8"/>
              <w:rPr>
                <w:rFonts w:eastAsia="Arial"/>
                <w:b/>
                <w:bCs/>
                <w:highlight w:val="green"/>
              </w:rPr>
            </w:pPr>
            <w:r w:rsidRPr="00654152">
              <w:rPr>
                <w:rFonts w:eastAsia="Arial"/>
                <w:b/>
                <w:bCs/>
                <w:noProof/>
                <w:position w:val="-24"/>
                <w:sz w:val="20"/>
                <w:lang w:val="en-AU" w:eastAsia="en-AU"/>
              </w:rPr>
              <w:drawing>
                <wp:inline distT="0" distB="0" distL="0" distR="0" wp14:anchorId="53AEF849" wp14:editId="7A77DBD6">
                  <wp:extent cx="779525" cy="779526"/>
                  <wp:effectExtent l="0" t="0" r="0" b="0"/>
                  <wp:docPr id="2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56" cstate="print"/>
                          <a:stretch>
                            <a:fillRect/>
                          </a:stretch>
                        </pic:blipFill>
                        <pic:spPr>
                          <a:xfrm>
                            <a:off x="0" y="0"/>
                            <a:ext cx="779525" cy="779526"/>
                          </a:xfrm>
                          <a:prstGeom prst="rect">
                            <a:avLst/>
                          </a:prstGeom>
                        </pic:spPr>
                      </pic:pic>
                    </a:graphicData>
                  </a:graphic>
                </wp:inline>
              </w:drawing>
            </w:r>
          </w:p>
        </w:tc>
        <w:tc>
          <w:tcPr>
            <w:tcW w:w="8615" w:type="dxa"/>
          </w:tcPr>
          <w:p w14:paraId="283006DA" w14:textId="77777777" w:rsidR="00654152" w:rsidRPr="00654152" w:rsidRDefault="00654152" w:rsidP="00654152">
            <w:pPr>
              <w:tabs>
                <w:tab w:val="left" w:pos="492"/>
              </w:tabs>
              <w:ind w:right="554"/>
              <w:rPr>
                <w:rFonts w:eastAsia="Calibri" w:hAnsi="Calibri"/>
                <w:b/>
              </w:rPr>
            </w:pPr>
          </w:p>
          <w:p w14:paraId="5583AB04" w14:textId="77777777" w:rsidR="00654152" w:rsidRPr="00654152" w:rsidRDefault="00654152" w:rsidP="00654152">
            <w:pPr>
              <w:tabs>
                <w:tab w:val="left" w:pos="492"/>
              </w:tabs>
              <w:ind w:right="554"/>
              <w:rPr>
                <w:rFonts w:eastAsia="Calibri" w:hAnsi="Calibri"/>
                <w:sz w:val="18"/>
              </w:rPr>
            </w:pPr>
            <w:r w:rsidRPr="00654152">
              <w:rPr>
                <w:rFonts w:eastAsia="Calibri" w:hAnsi="Calibri"/>
                <w:b/>
              </w:rPr>
              <w:t>Unleash</w:t>
            </w:r>
            <w:r w:rsidRPr="00654152">
              <w:rPr>
                <w:rFonts w:eastAsia="Calibri" w:hAnsi="Calibri"/>
                <w:b/>
                <w:spacing w:val="-6"/>
              </w:rPr>
              <w:t xml:space="preserve"> </w:t>
            </w:r>
            <w:r w:rsidRPr="00654152">
              <w:rPr>
                <w:rFonts w:eastAsia="Calibri" w:hAnsi="Calibri"/>
                <w:b/>
              </w:rPr>
              <w:t>potential</w:t>
            </w:r>
            <w:r w:rsidRPr="00654152">
              <w:rPr>
                <w:rFonts w:eastAsia="Calibri" w:hAnsi="Calibri"/>
                <w:sz w:val="18"/>
              </w:rPr>
              <w:t xml:space="preserve"> </w:t>
            </w:r>
          </w:p>
          <w:p w14:paraId="37449FC8"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Expect greatness</w:t>
            </w:r>
          </w:p>
          <w:p w14:paraId="5EB281A3"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Lead and set clear expectations</w:t>
            </w:r>
          </w:p>
          <w:p w14:paraId="01243D16" w14:textId="77777777" w:rsidR="00654152" w:rsidRPr="00654152" w:rsidRDefault="00654152" w:rsidP="006D5DCC">
            <w:pPr>
              <w:numPr>
                <w:ilvl w:val="0"/>
                <w:numId w:val="11"/>
              </w:numPr>
              <w:tabs>
                <w:tab w:val="left" w:pos="590"/>
              </w:tabs>
              <w:ind w:right="513"/>
              <w:rPr>
                <w:rFonts w:ascii="Calibri" w:eastAsia="Calibri" w:hAnsi="Calibri"/>
                <w:b/>
              </w:rPr>
            </w:pPr>
            <w:r w:rsidRPr="00654152">
              <w:rPr>
                <w:rFonts w:eastAsia="Calibri" w:hAnsi="Calibri"/>
              </w:rPr>
              <w:t>Seek, provide and act on feedback</w:t>
            </w:r>
          </w:p>
        </w:tc>
      </w:tr>
      <w:tr w:rsidR="00654152" w:rsidRPr="00654152" w14:paraId="7401E5C1" w14:textId="77777777" w:rsidTr="001A7E9D">
        <w:tc>
          <w:tcPr>
            <w:tcW w:w="1619" w:type="dxa"/>
          </w:tcPr>
          <w:p w14:paraId="76235958" w14:textId="77777777" w:rsidR="00654152" w:rsidRPr="00654152" w:rsidRDefault="00654152" w:rsidP="00654152">
            <w:pPr>
              <w:spacing w:before="194"/>
              <w:ind w:right="996"/>
              <w:outlineLvl w:val="8"/>
              <w:rPr>
                <w:rFonts w:eastAsia="Arial"/>
                <w:b/>
                <w:bCs/>
                <w:highlight w:val="green"/>
              </w:rPr>
            </w:pPr>
            <w:r w:rsidRPr="00654152">
              <w:rPr>
                <w:rFonts w:eastAsia="Arial"/>
                <w:b/>
                <w:bCs/>
                <w:noProof/>
                <w:position w:val="-24"/>
                <w:sz w:val="20"/>
                <w:lang w:val="en-AU" w:eastAsia="en-AU"/>
              </w:rPr>
              <w:drawing>
                <wp:inline distT="0" distB="0" distL="0" distR="0" wp14:anchorId="6339A058" wp14:editId="34C936B2">
                  <wp:extent cx="779525" cy="779526"/>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57" cstate="print"/>
                          <a:stretch>
                            <a:fillRect/>
                          </a:stretch>
                        </pic:blipFill>
                        <pic:spPr>
                          <a:xfrm>
                            <a:off x="0" y="0"/>
                            <a:ext cx="779525" cy="779526"/>
                          </a:xfrm>
                          <a:prstGeom prst="rect">
                            <a:avLst/>
                          </a:prstGeom>
                        </pic:spPr>
                      </pic:pic>
                    </a:graphicData>
                  </a:graphic>
                </wp:inline>
              </w:drawing>
            </w:r>
          </w:p>
        </w:tc>
        <w:tc>
          <w:tcPr>
            <w:tcW w:w="8615" w:type="dxa"/>
          </w:tcPr>
          <w:p w14:paraId="45278F10" w14:textId="77777777" w:rsidR="00654152" w:rsidRPr="00654152" w:rsidRDefault="00654152" w:rsidP="00654152">
            <w:pPr>
              <w:ind w:right="996"/>
              <w:outlineLvl w:val="8"/>
              <w:rPr>
                <w:rFonts w:eastAsia="Arial"/>
                <w:b/>
                <w:bCs/>
              </w:rPr>
            </w:pPr>
          </w:p>
          <w:p w14:paraId="19A829AA" w14:textId="77777777" w:rsidR="00654152" w:rsidRPr="00654152" w:rsidRDefault="00654152" w:rsidP="00654152">
            <w:pPr>
              <w:ind w:right="996"/>
              <w:outlineLvl w:val="8"/>
              <w:rPr>
                <w:rFonts w:eastAsia="Arial"/>
                <w:b/>
                <w:bCs/>
              </w:rPr>
            </w:pPr>
            <w:r w:rsidRPr="00654152">
              <w:rPr>
                <w:rFonts w:eastAsia="Arial"/>
                <w:b/>
                <w:bCs/>
              </w:rPr>
              <w:t>Be</w:t>
            </w:r>
            <w:r w:rsidRPr="00654152">
              <w:rPr>
                <w:rFonts w:eastAsia="Arial"/>
                <w:b/>
                <w:bCs/>
                <w:spacing w:val="-3"/>
              </w:rPr>
              <w:t xml:space="preserve"> </w:t>
            </w:r>
            <w:r w:rsidRPr="00654152">
              <w:rPr>
                <w:rFonts w:eastAsia="Arial"/>
                <w:b/>
                <w:bCs/>
              </w:rPr>
              <w:t>courageous</w:t>
            </w:r>
          </w:p>
          <w:p w14:paraId="635311DB"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Own your actions, successes and mistakes</w:t>
            </w:r>
          </w:p>
          <w:p w14:paraId="04E0FA1F"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Take calculated risks</w:t>
            </w:r>
          </w:p>
          <w:p w14:paraId="45E81888" w14:textId="77777777" w:rsidR="00654152" w:rsidRPr="00654152" w:rsidRDefault="00654152" w:rsidP="006D5DCC">
            <w:pPr>
              <w:numPr>
                <w:ilvl w:val="0"/>
                <w:numId w:val="11"/>
              </w:numPr>
              <w:tabs>
                <w:tab w:val="left" w:pos="590"/>
              </w:tabs>
              <w:ind w:right="513"/>
              <w:rPr>
                <w:rFonts w:ascii="Calibri" w:eastAsia="Calibri" w:hAnsi="Calibri"/>
              </w:rPr>
            </w:pPr>
            <w:r w:rsidRPr="00654152">
              <w:rPr>
                <w:rFonts w:eastAsia="Calibri" w:hAnsi="Calibri"/>
              </w:rPr>
              <w:t>Act with transparency</w:t>
            </w:r>
          </w:p>
        </w:tc>
      </w:tr>
      <w:tr w:rsidR="00654152" w:rsidRPr="00654152" w14:paraId="7870823A" w14:textId="77777777" w:rsidTr="001A7E9D">
        <w:tc>
          <w:tcPr>
            <w:tcW w:w="1619" w:type="dxa"/>
          </w:tcPr>
          <w:p w14:paraId="07D820D7" w14:textId="77777777" w:rsidR="00654152" w:rsidRPr="00654152" w:rsidRDefault="00654152" w:rsidP="00654152">
            <w:pPr>
              <w:spacing w:before="194"/>
              <w:ind w:right="996"/>
              <w:outlineLvl w:val="8"/>
              <w:rPr>
                <w:rFonts w:eastAsia="Arial"/>
                <w:b/>
                <w:bCs/>
                <w:highlight w:val="green"/>
              </w:rPr>
            </w:pPr>
            <w:r w:rsidRPr="00654152">
              <w:rPr>
                <w:rFonts w:eastAsia="Arial"/>
                <w:b/>
                <w:bCs/>
                <w:noProof/>
                <w:position w:val="-24"/>
                <w:sz w:val="20"/>
                <w:lang w:val="en-AU" w:eastAsia="en-AU"/>
              </w:rPr>
              <w:drawing>
                <wp:inline distT="0" distB="0" distL="0" distR="0" wp14:anchorId="264425A1" wp14:editId="1F645899">
                  <wp:extent cx="778897" cy="779526"/>
                  <wp:effectExtent l="0" t="0" r="0" b="0"/>
                  <wp:docPr id="2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58" cstate="print"/>
                          <a:stretch>
                            <a:fillRect/>
                          </a:stretch>
                        </pic:blipFill>
                        <pic:spPr>
                          <a:xfrm>
                            <a:off x="0" y="0"/>
                            <a:ext cx="778897" cy="779526"/>
                          </a:xfrm>
                          <a:prstGeom prst="rect">
                            <a:avLst/>
                          </a:prstGeom>
                        </pic:spPr>
                      </pic:pic>
                    </a:graphicData>
                  </a:graphic>
                </wp:inline>
              </w:drawing>
            </w:r>
          </w:p>
        </w:tc>
        <w:tc>
          <w:tcPr>
            <w:tcW w:w="8615" w:type="dxa"/>
          </w:tcPr>
          <w:p w14:paraId="0970982C" w14:textId="77777777" w:rsidR="00654152" w:rsidRPr="00654152" w:rsidRDefault="00654152" w:rsidP="00654152">
            <w:pPr>
              <w:ind w:right="996"/>
              <w:outlineLvl w:val="8"/>
              <w:rPr>
                <w:rFonts w:eastAsia="Arial"/>
                <w:b/>
                <w:bCs/>
              </w:rPr>
            </w:pPr>
          </w:p>
          <w:p w14:paraId="3F8A8F13" w14:textId="77777777" w:rsidR="00654152" w:rsidRPr="00654152" w:rsidRDefault="00654152" w:rsidP="00654152">
            <w:pPr>
              <w:ind w:right="996"/>
              <w:outlineLvl w:val="8"/>
              <w:rPr>
                <w:rFonts w:eastAsia="Arial"/>
                <w:b/>
                <w:bCs/>
              </w:rPr>
            </w:pPr>
            <w:r w:rsidRPr="00654152">
              <w:rPr>
                <w:rFonts w:eastAsia="Arial"/>
                <w:b/>
                <w:bCs/>
              </w:rPr>
              <w:t>Empower</w:t>
            </w:r>
            <w:r w:rsidRPr="00654152">
              <w:rPr>
                <w:rFonts w:eastAsia="Arial"/>
                <w:b/>
                <w:bCs/>
                <w:spacing w:val="-5"/>
              </w:rPr>
              <w:t xml:space="preserve"> </w:t>
            </w:r>
            <w:r w:rsidRPr="00654152">
              <w:rPr>
                <w:rFonts w:eastAsia="Arial"/>
                <w:b/>
                <w:bCs/>
              </w:rPr>
              <w:t>people</w:t>
            </w:r>
          </w:p>
          <w:p w14:paraId="419FA37E"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Lead, empower and trust</w:t>
            </w:r>
          </w:p>
          <w:p w14:paraId="244FFF94" w14:textId="77777777" w:rsidR="00654152" w:rsidRPr="00654152" w:rsidRDefault="00654152" w:rsidP="006D5DCC">
            <w:pPr>
              <w:numPr>
                <w:ilvl w:val="0"/>
                <w:numId w:val="11"/>
              </w:numPr>
              <w:tabs>
                <w:tab w:val="left" w:pos="590"/>
              </w:tabs>
              <w:ind w:right="513"/>
              <w:rPr>
                <w:rFonts w:eastAsia="Calibri" w:hAnsi="Calibri"/>
              </w:rPr>
            </w:pPr>
            <w:r w:rsidRPr="00654152">
              <w:rPr>
                <w:rFonts w:eastAsia="Calibri" w:hAnsi="Calibri"/>
              </w:rPr>
              <w:t>Play to everyone</w:t>
            </w:r>
            <w:r w:rsidRPr="00654152">
              <w:rPr>
                <w:rFonts w:eastAsia="Calibri" w:hAnsi="Calibri"/>
              </w:rPr>
              <w:t>’</w:t>
            </w:r>
            <w:r w:rsidRPr="00654152">
              <w:rPr>
                <w:rFonts w:eastAsia="Calibri" w:hAnsi="Calibri"/>
              </w:rPr>
              <w:t>s strengths</w:t>
            </w:r>
          </w:p>
          <w:p w14:paraId="2C0C8C56" w14:textId="77777777" w:rsidR="00654152" w:rsidRPr="00654152" w:rsidRDefault="00654152" w:rsidP="006D5DCC">
            <w:pPr>
              <w:numPr>
                <w:ilvl w:val="0"/>
                <w:numId w:val="11"/>
              </w:numPr>
              <w:tabs>
                <w:tab w:val="left" w:pos="590"/>
              </w:tabs>
              <w:ind w:right="513"/>
              <w:rPr>
                <w:rFonts w:ascii="Calibri" w:eastAsia="Calibri" w:hAnsi="Calibri"/>
              </w:rPr>
            </w:pPr>
            <w:r w:rsidRPr="00654152">
              <w:rPr>
                <w:rFonts w:eastAsia="Calibri" w:hAnsi="Calibri"/>
              </w:rPr>
              <w:t>Develop yourself and those around you</w:t>
            </w:r>
          </w:p>
        </w:tc>
      </w:tr>
    </w:tbl>
    <w:p w14:paraId="613748F9" w14:textId="544A634D" w:rsidR="00550C45" w:rsidRPr="00654152" w:rsidRDefault="00550C45" w:rsidP="00913AA5">
      <w:pPr>
        <w:pStyle w:val="Heading3"/>
      </w:pPr>
      <w:r w:rsidRPr="00991936">
        <w:t>Our strategic risks and challenges</w:t>
      </w:r>
      <w:r w:rsidRPr="00A250E2">
        <w:t xml:space="preserve"> </w:t>
      </w:r>
    </w:p>
    <w:p w14:paraId="20F7676E" w14:textId="77777777" w:rsidR="00550C45" w:rsidRPr="00654152" w:rsidRDefault="00550C45" w:rsidP="001A7E9D">
      <w:pPr>
        <w:pStyle w:val="BodyText"/>
        <w:spacing w:after="60"/>
        <w:ind w:left="-142"/>
      </w:pPr>
      <w:r w:rsidRPr="00654152">
        <w:t>The Office of the IGEM identified the following strategic risks and challenges for 201</w:t>
      </w:r>
      <w:r>
        <w:t>6</w:t>
      </w:r>
      <w:r w:rsidRPr="00654152">
        <w:noBreakHyphen/>
        <w:t>1</w:t>
      </w:r>
      <w:r>
        <w:t>7</w:t>
      </w:r>
      <w:r w:rsidRPr="00654152">
        <w:t xml:space="preserve"> and into the futur</w:t>
      </w:r>
      <w:r>
        <w:t>e.</w:t>
      </w:r>
      <w:r w:rsidRPr="00A250E2">
        <w:t xml:space="preserve"> </w:t>
      </w:r>
    </w:p>
    <w:p w14:paraId="4E479AD0" w14:textId="28385930" w:rsidR="00550C45" w:rsidRPr="00924ECD" w:rsidRDefault="006A6077" w:rsidP="001A7E9D">
      <w:pPr>
        <w:pStyle w:val="BodyText"/>
        <w:widowControl w:val="0"/>
        <w:numPr>
          <w:ilvl w:val="0"/>
          <w:numId w:val="19"/>
        </w:numPr>
        <w:spacing w:before="60" w:after="60" w:line="251" w:lineRule="exact"/>
        <w:ind w:left="426" w:hanging="568"/>
      </w:pPr>
      <w:r>
        <w:t>r</w:t>
      </w:r>
      <w:r w:rsidR="00550C45" w:rsidRPr="002C3D1A">
        <w:t>educing barriers to responsive and integrated disaster management for local</w:t>
      </w:r>
      <w:r w:rsidR="00550C45" w:rsidRPr="00924ECD">
        <w:t xml:space="preserve"> g</w:t>
      </w:r>
      <w:r w:rsidR="00550C45" w:rsidRPr="00A250E2">
        <w:t>overnments, state agencies and other</w:t>
      </w:r>
      <w:r w:rsidR="00550C45" w:rsidRPr="00924ECD">
        <w:t xml:space="preserve"> </w:t>
      </w:r>
      <w:r w:rsidR="00550C45" w:rsidRPr="00A250E2">
        <w:t>partners</w:t>
      </w:r>
    </w:p>
    <w:p w14:paraId="2C0AEBB7" w14:textId="7CF4D7FE" w:rsidR="00550C45" w:rsidRPr="00343BB9" w:rsidRDefault="006A6077" w:rsidP="001A7E9D">
      <w:pPr>
        <w:pStyle w:val="BodyText"/>
        <w:widowControl w:val="0"/>
        <w:numPr>
          <w:ilvl w:val="0"/>
          <w:numId w:val="19"/>
        </w:numPr>
        <w:spacing w:before="60" w:after="60" w:line="251" w:lineRule="exact"/>
        <w:ind w:left="426" w:hanging="568"/>
      </w:pPr>
      <w:r>
        <w:t>e</w:t>
      </w:r>
      <w:r w:rsidR="00550C45" w:rsidRPr="00343BB9">
        <w:t>nsuring performance is measured against outcomes</w:t>
      </w:r>
    </w:p>
    <w:p w14:paraId="3A019044" w14:textId="571DEEFF" w:rsidR="00550C45" w:rsidRPr="00343BB9" w:rsidRDefault="006A6077" w:rsidP="001A7E9D">
      <w:pPr>
        <w:pStyle w:val="BodyText"/>
        <w:widowControl w:val="0"/>
        <w:numPr>
          <w:ilvl w:val="0"/>
          <w:numId w:val="19"/>
        </w:numPr>
        <w:spacing w:before="60" w:after="60" w:line="251" w:lineRule="exact"/>
        <w:ind w:left="426" w:hanging="568"/>
      </w:pPr>
      <w:r>
        <w:t>e</w:t>
      </w:r>
      <w:r w:rsidR="00550C45">
        <w:t xml:space="preserve">nsuring continued support for </w:t>
      </w:r>
      <w:r w:rsidR="00550C45" w:rsidRPr="00343BB9">
        <w:t>shared responsibilities balanced with clear accountabilities</w:t>
      </w:r>
    </w:p>
    <w:p w14:paraId="690850CD" w14:textId="252A4680" w:rsidR="00550C45" w:rsidRPr="00343BB9" w:rsidRDefault="006A6077" w:rsidP="001A7E9D">
      <w:pPr>
        <w:pStyle w:val="BodyText"/>
        <w:widowControl w:val="0"/>
        <w:numPr>
          <w:ilvl w:val="0"/>
          <w:numId w:val="19"/>
        </w:numPr>
        <w:spacing w:before="60" w:after="60" w:line="251" w:lineRule="exact"/>
        <w:ind w:left="426" w:hanging="568"/>
      </w:pPr>
      <w:r>
        <w:t>e</w:t>
      </w:r>
      <w:r w:rsidR="00550C45" w:rsidRPr="00343BB9">
        <w:t>nsuring clear expectations of leadership across the emergency management sector</w:t>
      </w:r>
    </w:p>
    <w:p w14:paraId="7F10A8FA" w14:textId="50005080" w:rsidR="00550C45" w:rsidRPr="00343BB9" w:rsidRDefault="006A6077" w:rsidP="001A7E9D">
      <w:pPr>
        <w:pStyle w:val="BodyText"/>
        <w:widowControl w:val="0"/>
        <w:numPr>
          <w:ilvl w:val="0"/>
          <w:numId w:val="19"/>
        </w:numPr>
        <w:spacing w:before="60" w:after="60" w:line="251" w:lineRule="exact"/>
        <w:ind w:left="426" w:hanging="568"/>
      </w:pPr>
      <w:r>
        <w:t>p</w:t>
      </w:r>
      <w:r w:rsidR="00550C45" w:rsidRPr="00343BB9">
        <w:t>roviding valued services to key stakeholders</w:t>
      </w:r>
    </w:p>
    <w:p w14:paraId="3D2F7D3A" w14:textId="57B4CE7F" w:rsidR="00550C45" w:rsidRPr="00343BB9" w:rsidRDefault="006A6077" w:rsidP="001A7E9D">
      <w:pPr>
        <w:pStyle w:val="BodyText"/>
        <w:widowControl w:val="0"/>
        <w:numPr>
          <w:ilvl w:val="0"/>
          <w:numId w:val="19"/>
        </w:numPr>
        <w:spacing w:before="60" w:after="60" w:line="251" w:lineRule="exact"/>
        <w:ind w:left="426" w:hanging="568"/>
      </w:pPr>
      <w:r>
        <w:t>e</w:t>
      </w:r>
      <w:r w:rsidR="00550C45" w:rsidRPr="00343BB9">
        <w:t xml:space="preserve">nsuring all stakeholders understand their risks and are taking </w:t>
      </w:r>
      <w:r w:rsidR="00550C45">
        <w:t xml:space="preserve">appropriate </w:t>
      </w:r>
      <w:r w:rsidR="00550C45" w:rsidRPr="00343BB9">
        <w:t>action to mitigate these risks</w:t>
      </w:r>
    </w:p>
    <w:p w14:paraId="61E3DE07" w14:textId="3E2458D8" w:rsidR="00550C45" w:rsidRDefault="006A6077" w:rsidP="001A7E9D">
      <w:pPr>
        <w:pStyle w:val="BodyText"/>
        <w:widowControl w:val="0"/>
        <w:numPr>
          <w:ilvl w:val="0"/>
          <w:numId w:val="19"/>
        </w:numPr>
        <w:spacing w:before="60" w:after="60" w:line="251" w:lineRule="exact"/>
        <w:ind w:left="426" w:hanging="568"/>
      </w:pPr>
      <w:r>
        <w:t>e</w:t>
      </w:r>
      <w:r w:rsidR="00550C45" w:rsidRPr="00343BB9">
        <w:t>nsuring the broader disaster management</w:t>
      </w:r>
      <w:r w:rsidR="00550C45">
        <w:t xml:space="preserve"> framework remains contemporary</w:t>
      </w:r>
    </w:p>
    <w:p w14:paraId="7DC9A913" w14:textId="74F2FF6D" w:rsidR="00550C45" w:rsidRPr="00343BB9" w:rsidRDefault="006A6077" w:rsidP="001A7E9D">
      <w:pPr>
        <w:pStyle w:val="BodyText"/>
        <w:widowControl w:val="0"/>
        <w:numPr>
          <w:ilvl w:val="0"/>
          <w:numId w:val="19"/>
        </w:numPr>
        <w:spacing w:before="60" w:after="60" w:line="251" w:lineRule="exact"/>
        <w:ind w:left="426" w:hanging="568"/>
      </w:pPr>
      <w:r>
        <w:t>e</w:t>
      </w:r>
      <w:r w:rsidR="00550C45">
        <w:t xml:space="preserve">nsuring the value of advice and the related outcomes is greater than the investment required for implementation. </w:t>
      </w:r>
    </w:p>
    <w:p w14:paraId="7D0A8D1C" w14:textId="77777777" w:rsidR="00650004" w:rsidRDefault="00650004">
      <w:r>
        <w:br w:type="page"/>
      </w:r>
    </w:p>
    <w:p w14:paraId="7A3626FC" w14:textId="77777777" w:rsidR="00550C45" w:rsidRPr="00654152" w:rsidRDefault="00550C45" w:rsidP="001A7E9D">
      <w:pPr>
        <w:pStyle w:val="BodyText"/>
        <w:spacing w:after="60"/>
        <w:ind w:left="142" w:hanging="426"/>
      </w:pPr>
      <w:r>
        <w:lastRenderedPageBreak/>
        <w:t>I</w:t>
      </w:r>
      <w:r w:rsidRPr="001D3539">
        <w:t>n 201</w:t>
      </w:r>
      <w:r>
        <w:t>7</w:t>
      </w:r>
      <w:r w:rsidRPr="001D3539">
        <w:t>-1</w:t>
      </w:r>
      <w:r>
        <w:t>8</w:t>
      </w:r>
      <w:r w:rsidRPr="001D3539">
        <w:t xml:space="preserve">, the Office of the IGEM will progress a range of </w:t>
      </w:r>
      <w:r>
        <w:t xml:space="preserve">key </w:t>
      </w:r>
      <w:r w:rsidRPr="001D3539">
        <w:t>strategies including:</w:t>
      </w:r>
    </w:p>
    <w:p w14:paraId="0A827E92" w14:textId="77777777" w:rsidR="00550C45" w:rsidRDefault="00550C45" w:rsidP="001A7E9D">
      <w:pPr>
        <w:pStyle w:val="BodyText"/>
        <w:widowControl w:val="0"/>
        <w:numPr>
          <w:ilvl w:val="0"/>
          <w:numId w:val="19"/>
        </w:numPr>
        <w:spacing w:before="60" w:after="60" w:line="251" w:lineRule="exact"/>
        <w:ind w:left="142" w:hanging="284"/>
      </w:pPr>
      <w:r>
        <w:t xml:space="preserve">promoting a coordinated </w:t>
      </w:r>
      <w:r w:rsidRPr="001D3539">
        <w:t>strategic direction for eme</w:t>
      </w:r>
      <w:r>
        <w:t>rgency management in Queensland</w:t>
      </w:r>
    </w:p>
    <w:p w14:paraId="4B3E659B" w14:textId="77777777" w:rsidR="00550C45" w:rsidRDefault="00550C45" w:rsidP="001A7E9D">
      <w:pPr>
        <w:pStyle w:val="BodyText"/>
        <w:widowControl w:val="0"/>
        <w:numPr>
          <w:ilvl w:val="0"/>
          <w:numId w:val="19"/>
        </w:numPr>
        <w:spacing w:before="60" w:after="60" w:line="251" w:lineRule="exact"/>
        <w:ind w:left="142" w:hanging="284"/>
      </w:pPr>
      <w:r>
        <w:t xml:space="preserve">undertaking targeted reviews and system analysis that identify risks and prioritise improvements on the basis of community outcomes </w:t>
      </w:r>
    </w:p>
    <w:p w14:paraId="33CCB87C" w14:textId="77777777" w:rsidR="00550C45" w:rsidRDefault="00550C45" w:rsidP="001A7E9D">
      <w:pPr>
        <w:pStyle w:val="BodyText"/>
        <w:widowControl w:val="0"/>
        <w:numPr>
          <w:ilvl w:val="0"/>
          <w:numId w:val="19"/>
        </w:numPr>
        <w:spacing w:before="60" w:after="60" w:line="251" w:lineRule="exact"/>
        <w:ind w:left="142" w:hanging="284"/>
      </w:pPr>
      <w:r>
        <w:t>designing, applying and embedding contemporary assurance frameworks, activities and tools that are valued by stakeholders and enable improved performance, evaluation and reporting</w:t>
      </w:r>
    </w:p>
    <w:p w14:paraId="4FCE4A55" w14:textId="77777777" w:rsidR="00550C45" w:rsidRDefault="00550C45" w:rsidP="001A7E9D">
      <w:pPr>
        <w:pStyle w:val="BodyText"/>
        <w:widowControl w:val="0"/>
        <w:numPr>
          <w:ilvl w:val="0"/>
          <w:numId w:val="19"/>
        </w:numPr>
        <w:spacing w:before="60" w:after="60" w:line="251" w:lineRule="exact"/>
        <w:ind w:left="142" w:hanging="284"/>
      </w:pPr>
      <w:r>
        <w:t xml:space="preserve">providing system oversight and assurance that enables key stakeholders to deliver their responsibilities and achieve performance outcomes across emergency management </w:t>
      </w:r>
    </w:p>
    <w:p w14:paraId="38067E30" w14:textId="77777777" w:rsidR="00550C45" w:rsidRDefault="00550C45" w:rsidP="001A7E9D">
      <w:pPr>
        <w:pStyle w:val="BodyText"/>
        <w:widowControl w:val="0"/>
        <w:numPr>
          <w:ilvl w:val="0"/>
          <w:numId w:val="19"/>
        </w:numPr>
        <w:spacing w:before="60" w:after="60" w:line="251" w:lineRule="exact"/>
        <w:ind w:left="142" w:hanging="284"/>
      </w:pPr>
      <w:r>
        <w:t xml:space="preserve">seeking and harnessing trusted partnerships that promote collaboration, community-centric engagement, leadership and resilience </w:t>
      </w:r>
    </w:p>
    <w:p w14:paraId="6C23D313" w14:textId="77777777" w:rsidR="00550C45" w:rsidRDefault="00550C45" w:rsidP="001A7E9D">
      <w:pPr>
        <w:pStyle w:val="BodyText"/>
        <w:widowControl w:val="0"/>
        <w:numPr>
          <w:ilvl w:val="0"/>
          <w:numId w:val="19"/>
        </w:numPr>
        <w:spacing w:before="60" w:after="60" w:line="251" w:lineRule="exact"/>
        <w:ind w:left="142" w:hanging="284"/>
      </w:pPr>
      <w:r>
        <w:t>connecting and engaging with key stakeholders and partners through flexible and transparent platforms, systems and processes that enable interoperability, open communication and good governance</w:t>
      </w:r>
    </w:p>
    <w:p w14:paraId="35655F5D" w14:textId="77777777" w:rsidR="00550C45" w:rsidRDefault="00550C45" w:rsidP="001A7E9D">
      <w:pPr>
        <w:pStyle w:val="BodyText"/>
        <w:widowControl w:val="0"/>
        <w:numPr>
          <w:ilvl w:val="0"/>
          <w:numId w:val="19"/>
        </w:numPr>
        <w:spacing w:before="60" w:after="60" w:line="251" w:lineRule="exact"/>
        <w:ind w:left="142" w:hanging="284"/>
      </w:pPr>
      <w:r>
        <w:t xml:space="preserve">leveraging contemporary research and analysis to inform evidence-based policy, practice and advice across all phases of emergency management </w:t>
      </w:r>
    </w:p>
    <w:p w14:paraId="0D083626" w14:textId="77777777" w:rsidR="00550C45" w:rsidRPr="001D3539" w:rsidRDefault="00550C45" w:rsidP="001A7E9D">
      <w:pPr>
        <w:pStyle w:val="BodyText"/>
        <w:widowControl w:val="0"/>
        <w:numPr>
          <w:ilvl w:val="0"/>
          <w:numId w:val="19"/>
        </w:numPr>
        <w:spacing w:before="60" w:after="60" w:line="251" w:lineRule="exact"/>
        <w:ind w:left="142" w:hanging="284"/>
      </w:pPr>
      <w:r>
        <w:t xml:space="preserve">providing clear and timely information and advice that builds capability and empowers key stakeholders to effectively meet their emergency management accountabilities. </w:t>
      </w:r>
    </w:p>
    <w:p w14:paraId="0F120E99" w14:textId="77777777" w:rsidR="00550C45" w:rsidRPr="00654152" w:rsidRDefault="00550C45" w:rsidP="00913AA5">
      <w:pPr>
        <w:pStyle w:val="Heading3"/>
      </w:pPr>
      <w:r w:rsidRPr="00654152">
        <w:t>Our partners</w:t>
      </w:r>
    </w:p>
    <w:p w14:paraId="42C6BF4D" w14:textId="77777777" w:rsidR="00550C45" w:rsidRPr="00654152" w:rsidRDefault="00550C45" w:rsidP="001A7E9D">
      <w:pPr>
        <w:pStyle w:val="BodyText"/>
        <w:ind w:left="-142"/>
      </w:pPr>
      <w:r w:rsidRPr="00654152">
        <w:t>The Office of the IGEM works across the emergency and disaster management sector to improve disaster management outcomes for the community</w:t>
      </w:r>
      <w:r>
        <w:t>.</w:t>
      </w:r>
    </w:p>
    <w:p w14:paraId="5DA5BDE5" w14:textId="0D384392" w:rsidR="00550C45" w:rsidRPr="00654152" w:rsidRDefault="00550C45" w:rsidP="001A7E9D">
      <w:pPr>
        <w:pStyle w:val="BodyText"/>
        <w:ind w:left="-142"/>
      </w:pPr>
      <w:r w:rsidRPr="00654152">
        <w:t xml:space="preserve">The Office </w:t>
      </w:r>
      <w:r w:rsidR="00337CEA">
        <w:t xml:space="preserve">of the IGEM </w:t>
      </w:r>
      <w:r w:rsidRPr="00654152">
        <w:t xml:space="preserve">works closely with its portfolio partners </w:t>
      </w:r>
      <w:r>
        <w:t>–</w:t>
      </w:r>
      <w:r w:rsidRPr="00654152">
        <w:t xml:space="preserve"> </w:t>
      </w:r>
      <w:r>
        <w:t>QPS, QFES and PSBA</w:t>
      </w:r>
      <w:r w:rsidRPr="00654152">
        <w:t xml:space="preserve"> –</w:t>
      </w:r>
      <w:r>
        <w:t xml:space="preserve"> and </w:t>
      </w:r>
      <w:r w:rsidRPr="00654152">
        <w:t xml:space="preserve">other Queensland Government agencies including </w:t>
      </w:r>
      <w:r>
        <w:t>Queensland Health</w:t>
      </w:r>
      <w:r w:rsidR="006A6077">
        <w:t xml:space="preserve"> (QH)</w:t>
      </w:r>
      <w:r>
        <w:t xml:space="preserve">, the Department of </w:t>
      </w:r>
      <w:r w:rsidRPr="00654152">
        <w:t>Transport and Main Roads</w:t>
      </w:r>
      <w:r w:rsidR="006A6077">
        <w:t xml:space="preserve"> (DTMR)</w:t>
      </w:r>
      <w:r>
        <w:t>,</w:t>
      </w:r>
      <w:r w:rsidRPr="00654152">
        <w:t xml:space="preserve"> </w:t>
      </w:r>
      <w:r>
        <w:t xml:space="preserve">the Department of </w:t>
      </w:r>
      <w:r w:rsidRPr="00654152">
        <w:t>Communities, Child Safety and Disability Services</w:t>
      </w:r>
      <w:r w:rsidR="006A6077">
        <w:t xml:space="preserve"> (DCCSDS)</w:t>
      </w:r>
      <w:r>
        <w:t>,</w:t>
      </w:r>
      <w:r w:rsidRPr="00654152">
        <w:t xml:space="preserve"> </w:t>
      </w:r>
      <w:r>
        <w:t xml:space="preserve">the Department of </w:t>
      </w:r>
      <w:r w:rsidRPr="00654152">
        <w:t>Infrastructure, Local Government and Planning</w:t>
      </w:r>
      <w:r w:rsidR="006A6077">
        <w:t xml:space="preserve"> (DILGP)</w:t>
      </w:r>
      <w:r>
        <w:t>, and the Queensland Reconstruction Authority</w:t>
      </w:r>
      <w:r w:rsidR="00B1223E">
        <w:t xml:space="preserve"> (QRA)</w:t>
      </w:r>
      <w:r>
        <w:t xml:space="preserve">; the </w:t>
      </w:r>
      <w:r w:rsidR="006A6077">
        <w:t xml:space="preserve">LGAQ </w:t>
      </w:r>
      <w:r w:rsidRPr="00654152">
        <w:t>and the Bureau of Meteorology. The Office of the IGEM has strong relationships with its partners in the community including local governments and non-government organisations.</w:t>
      </w:r>
    </w:p>
    <w:p w14:paraId="3A72DAA0" w14:textId="77777777" w:rsidR="00550C45" w:rsidRPr="00654152" w:rsidRDefault="00550C45" w:rsidP="001A7E9D">
      <w:pPr>
        <w:pStyle w:val="BodyText"/>
        <w:ind w:left="-142"/>
      </w:pPr>
      <w:r w:rsidRPr="00654152">
        <w:t xml:space="preserve">The </w:t>
      </w:r>
      <w:r>
        <w:t xml:space="preserve">Office of the </w:t>
      </w:r>
      <w:r w:rsidRPr="00654152">
        <w:t>I</w:t>
      </w:r>
      <w:r>
        <w:t>GEM</w:t>
      </w:r>
      <w:r w:rsidRPr="00654152">
        <w:t xml:space="preserve"> is committed to maintaining and enhancing these partnerships, and maximi</w:t>
      </w:r>
      <w:r>
        <w:t>s</w:t>
      </w:r>
      <w:r w:rsidRPr="00654152">
        <w:t>ing stakeholder liaison and collaboration, by ensuring all communication and engagement activities are based on the four key principles of:</w:t>
      </w:r>
    </w:p>
    <w:p w14:paraId="6339FD32" w14:textId="77777777" w:rsidR="00550C45" w:rsidRPr="002C3D1A" w:rsidRDefault="00550C45" w:rsidP="001A7E9D">
      <w:pPr>
        <w:pStyle w:val="BodyText"/>
        <w:widowControl w:val="0"/>
        <w:numPr>
          <w:ilvl w:val="0"/>
          <w:numId w:val="19"/>
        </w:numPr>
        <w:spacing w:before="60" w:after="60" w:line="251" w:lineRule="exact"/>
        <w:ind w:left="142" w:hanging="284"/>
      </w:pPr>
      <w:r>
        <w:t>clear, accurate and timely</w:t>
      </w:r>
      <w:r w:rsidRPr="002C3D1A">
        <w:t xml:space="preserve"> </w:t>
      </w:r>
      <w:r>
        <w:t>communication</w:t>
      </w:r>
    </w:p>
    <w:p w14:paraId="42B35589" w14:textId="77777777" w:rsidR="00550C45" w:rsidRPr="002C3D1A" w:rsidRDefault="00550C45" w:rsidP="001A7E9D">
      <w:pPr>
        <w:pStyle w:val="BodyText"/>
        <w:widowControl w:val="0"/>
        <w:numPr>
          <w:ilvl w:val="0"/>
          <w:numId w:val="19"/>
        </w:numPr>
        <w:spacing w:before="60" w:after="60" w:line="251" w:lineRule="exact"/>
        <w:ind w:left="142" w:hanging="284"/>
      </w:pPr>
      <w:r>
        <w:t>accessibility and</w:t>
      </w:r>
      <w:r w:rsidRPr="002C3D1A">
        <w:t xml:space="preserve"> </w:t>
      </w:r>
      <w:r>
        <w:t>inclusiveness</w:t>
      </w:r>
    </w:p>
    <w:p w14:paraId="74E53199" w14:textId="77777777" w:rsidR="00550C45" w:rsidRPr="002C3D1A" w:rsidRDefault="00550C45" w:rsidP="001A7E9D">
      <w:pPr>
        <w:pStyle w:val="BodyText"/>
        <w:widowControl w:val="0"/>
        <w:numPr>
          <w:ilvl w:val="0"/>
          <w:numId w:val="19"/>
        </w:numPr>
        <w:spacing w:before="60" w:after="60" w:line="251" w:lineRule="exact"/>
        <w:ind w:left="142" w:hanging="284"/>
      </w:pPr>
      <w:r>
        <w:t>transparency</w:t>
      </w:r>
    </w:p>
    <w:p w14:paraId="17ACA9B4" w14:textId="77777777" w:rsidR="00550C45" w:rsidRPr="002C3D1A" w:rsidRDefault="00550C45" w:rsidP="001A7E9D">
      <w:pPr>
        <w:pStyle w:val="BodyText"/>
        <w:widowControl w:val="0"/>
        <w:numPr>
          <w:ilvl w:val="0"/>
          <w:numId w:val="19"/>
        </w:numPr>
        <w:spacing w:before="60" w:after="60" w:line="251" w:lineRule="exact"/>
        <w:ind w:left="142" w:hanging="284"/>
      </w:pPr>
      <w:r>
        <w:t>measurable outcomes and</w:t>
      </w:r>
      <w:r w:rsidRPr="002C3D1A">
        <w:t xml:space="preserve"> </w:t>
      </w:r>
      <w:r>
        <w:t>evaluation.</w:t>
      </w:r>
    </w:p>
    <w:p w14:paraId="2A35EED0" w14:textId="77777777" w:rsidR="00AE6BEA" w:rsidRDefault="00AE6BEA" w:rsidP="00AE6BEA">
      <w:pPr>
        <w:rPr>
          <w:rFonts w:eastAsia="Arial"/>
          <w:sz w:val="20"/>
        </w:rPr>
      </w:pPr>
      <w:r>
        <w:rPr>
          <w:rFonts w:eastAsia="Arial"/>
          <w:sz w:val="20"/>
        </w:rPr>
        <w:br w:type="page"/>
      </w:r>
    </w:p>
    <w:p w14:paraId="72176AFD" w14:textId="4D429C1E" w:rsidR="00AE6BEA" w:rsidRPr="00B9545B" w:rsidRDefault="00AE6BEA" w:rsidP="007703EB">
      <w:pPr>
        <w:pStyle w:val="Heading2"/>
      </w:pPr>
      <w:bookmarkStart w:id="58" w:name="_TOC_250016"/>
      <w:bookmarkStart w:id="59" w:name="_Toc460406674"/>
      <w:bookmarkStart w:id="60" w:name="_Toc460406824"/>
      <w:bookmarkStart w:id="61" w:name="_Toc460406860"/>
      <w:bookmarkStart w:id="62" w:name="_Toc460406939"/>
      <w:bookmarkStart w:id="63" w:name="_Toc460407053"/>
      <w:bookmarkStart w:id="64" w:name="_Toc492622949"/>
      <w:r w:rsidRPr="00B9545B">
        <w:lastRenderedPageBreak/>
        <w:t>Organisation</w:t>
      </w:r>
      <w:r w:rsidR="005D7114">
        <w:t>al</w:t>
      </w:r>
      <w:r w:rsidRPr="00B9545B">
        <w:t xml:space="preserve"> structure</w:t>
      </w:r>
      <w:bookmarkEnd w:id="58"/>
      <w:bookmarkEnd w:id="59"/>
      <w:bookmarkEnd w:id="60"/>
      <w:bookmarkEnd w:id="61"/>
      <w:bookmarkEnd w:id="62"/>
      <w:bookmarkEnd w:id="63"/>
      <w:bookmarkEnd w:id="64"/>
    </w:p>
    <w:p w14:paraId="5841396D" w14:textId="77777777" w:rsidR="00550C45" w:rsidRDefault="00550C45" w:rsidP="001A7E9D">
      <w:pPr>
        <w:pStyle w:val="BodyText"/>
        <w:ind w:left="-142"/>
        <w:rPr>
          <w:sz w:val="20"/>
        </w:rPr>
      </w:pPr>
      <w:r w:rsidRPr="00B50C2F">
        <w:t>(as at 30 June</w:t>
      </w:r>
      <w:r w:rsidRPr="00B50C2F">
        <w:rPr>
          <w:spacing w:val="-7"/>
        </w:rPr>
        <w:t xml:space="preserve"> </w:t>
      </w:r>
      <w:r w:rsidRPr="00B50C2F">
        <w:t>201</w:t>
      </w:r>
      <w:r>
        <w:t>7</w:t>
      </w:r>
      <w:r w:rsidRPr="00B50C2F">
        <w:t>)</w:t>
      </w:r>
    </w:p>
    <w:p w14:paraId="5944F9F1" w14:textId="77777777" w:rsidR="00550C45" w:rsidRDefault="00550C45" w:rsidP="00550C45">
      <w:pPr>
        <w:spacing w:before="6"/>
        <w:rPr>
          <w:rFonts w:eastAsia="Arial"/>
          <w:sz w:val="26"/>
          <w:szCs w:val="26"/>
        </w:rPr>
      </w:pPr>
      <w:r>
        <w:rPr>
          <w:rFonts w:eastAsia="Arial"/>
          <w:noProof/>
          <w:sz w:val="26"/>
          <w:szCs w:val="26"/>
          <w:lang w:val="en-AU" w:eastAsia="en-AU"/>
        </w:rPr>
        <w:drawing>
          <wp:inline distT="0" distB="0" distL="0" distR="0" wp14:anchorId="479BC396" wp14:editId="3DAB3778">
            <wp:extent cx="6411604" cy="1905000"/>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EM Org Structure.png"/>
                    <pic:cNvPicPr/>
                  </pic:nvPicPr>
                  <pic:blipFill rotWithShape="1">
                    <a:blip r:embed="rId59" cstate="print">
                      <a:extLst>
                        <a:ext uri="{28A0092B-C50C-407E-A947-70E740481C1C}">
                          <a14:useLocalDpi xmlns:a14="http://schemas.microsoft.com/office/drawing/2010/main" val="0"/>
                        </a:ext>
                      </a:extLst>
                    </a:blip>
                    <a:srcRect l="5266" t="21277" r="26875" b="50212"/>
                    <a:stretch/>
                  </pic:blipFill>
                  <pic:spPr bwMode="auto">
                    <a:xfrm>
                      <a:off x="0" y="0"/>
                      <a:ext cx="6413422" cy="1905540"/>
                    </a:xfrm>
                    <a:prstGeom prst="rect">
                      <a:avLst/>
                    </a:prstGeom>
                    <a:ln>
                      <a:noFill/>
                    </a:ln>
                    <a:extLst>
                      <a:ext uri="{53640926-AAD7-44D8-BBD7-CCE9431645EC}">
                        <a14:shadowObscured xmlns:a14="http://schemas.microsoft.com/office/drawing/2010/main"/>
                      </a:ext>
                    </a:extLst>
                  </pic:spPr>
                </pic:pic>
              </a:graphicData>
            </a:graphic>
          </wp:inline>
        </w:drawing>
      </w:r>
    </w:p>
    <w:p w14:paraId="4635693E" w14:textId="77777777" w:rsidR="00550C45" w:rsidRPr="00341581" w:rsidRDefault="00550C45" w:rsidP="00913AA5">
      <w:pPr>
        <w:pStyle w:val="Heading3"/>
      </w:pPr>
      <w:r w:rsidRPr="00CC416C">
        <w:rPr>
          <w:rFonts w:eastAsiaTheme="minorHAnsi"/>
        </w:rPr>
        <w:t>Our s</w:t>
      </w:r>
      <w:r w:rsidRPr="00CC416C">
        <w:t>tructure</w:t>
      </w:r>
    </w:p>
    <w:p w14:paraId="0A134F6F" w14:textId="14EFCEB6" w:rsidR="00550C45" w:rsidRDefault="00550C45" w:rsidP="001A7E9D">
      <w:pPr>
        <w:pStyle w:val="BodyText"/>
        <w:spacing w:line="242" w:lineRule="auto"/>
        <w:ind w:left="-142"/>
      </w:pPr>
      <w:r>
        <w:rPr>
          <w:b/>
        </w:rPr>
        <w:t xml:space="preserve">Interoperability and Innovation </w:t>
      </w:r>
      <w:r>
        <w:t xml:space="preserve">facilitates programs and solutions designed to help the Office </w:t>
      </w:r>
      <w:r w:rsidR="00337CEA">
        <w:t xml:space="preserve">of the IGEM </w:t>
      </w:r>
      <w:r>
        <w:t>and agencies</w:t>
      </w:r>
      <w:r>
        <w:rPr>
          <w:spacing w:val="-32"/>
        </w:rPr>
        <w:t xml:space="preserve"> </w:t>
      </w:r>
      <w:r>
        <w:t>deliver better disaster management outcomes.</w:t>
      </w:r>
    </w:p>
    <w:p w14:paraId="21DB1BFC" w14:textId="77777777" w:rsidR="00550C45" w:rsidRDefault="00550C45" w:rsidP="001A7E9D">
      <w:pPr>
        <w:pStyle w:val="BodyText"/>
        <w:spacing w:line="242" w:lineRule="auto"/>
        <w:ind w:left="-142"/>
        <w:rPr>
          <w:rFonts w:eastAsia="Arial"/>
        </w:rPr>
      </w:pPr>
      <w:r>
        <w:rPr>
          <w:b/>
        </w:rPr>
        <w:t xml:space="preserve">Performance, Reporting and Policy Analysis </w:t>
      </w:r>
      <w:r w:rsidRPr="00EA20C1">
        <w:t>develops and coordinates</w:t>
      </w:r>
      <w:r>
        <w:t xml:space="preserve"> internal strategy, planning and governance arrangements for the Office of the</w:t>
      </w:r>
      <w:r>
        <w:rPr>
          <w:spacing w:val="-30"/>
        </w:rPr>
        <w:t xml:space="preserve"> </w:t>
      </w:r>
      <w:r>
        <w:t>IGEM.</w:t>
      </w:r>
    </w:p>
    <w:p w14:paraId="6DCD5109" w14:textId="4CDF1EF7" w:rsidR="00550C45" w:rsidRDefault="00550C45" w:rsidP="001A7E9D">
      <w:pPr>
        <w:pStyle w:val="BodyText"/>
        <w:spacing w:line="242" w:lineRule="auto"/>
        <w:ind w:left="-142"/>
        <w:rPr>
          <w:rFonts w:eastAsia="Arial"/>
        </w:rPr>
      </w:pPr>
      <w:r>
        <w:rPr>
          <w:b/>
        </w:rPr>
        <w:t xml:space="preserve">Standards, Best Practice and Evaluation </w:t>
      </w:r>
      <w:r>
        <w:t>is responsible for the management and performance of the Framework, including the Standard and the Assurance and Excellence Development Program (AEDP).</w:t>
      </w:r>
    </w:p>
    <w:p w14:paraId="78AAB2D6" w14:textId="77777777" w:rsidR="00550C45" w:rsidRDefault="00550C45" w:rsidP="001A7E9D">
      <w:pPr>
        <w:pStyle w:val="BodyText"/>
        <w:spacing w:line="242" w:lineRule="auto"/>
        <w:ind w:left="-142"/>
      </w:pPr>
      <w:r>
        <w:rPr>
          <w:b/>
        </w:rPr>
        <w:t xml:space="preserve">Community and Stakeholder Engagement </w:t>
      </w:r>
      <w:r>
        <w:t>oversees the active engagement of stakeholders</w:t>
      </w:r>
      <w:r>
        <w:rPr>
          <w:spacing w:val="-33"/>
        </w:rPr>
        <w:t xml:space="preserve"> </w:t>
      </w:r>
      <w:r>
        <w:t>within the disaster management sphere, non-government organisations and the public for the Office of the IGEM.</w:t>
      </w:r>
    </w:p>
    <w:p w14:paraId="0F9B215F" w14:textId="77777777" w:rsidR="00B34B8E" w:rsidRDefault="00B34B8E" w:rsidP="00B34B8E">
      <w:pPr>
        <w:rPr>
          <w:highlight w:val="yellow"/>
        </w:rPr>
      </w:pPr>
      <w:r>
        <w:rPr>
          <w:highlight w:val="yellow"/>
        </w:rPr>
        <w:br w:type="page"/>
      </w:r>
    </w:p>
    <w:p w14:paraId="4D5C0497" w14:textId="77777777" w:rsidR="00D01B67" w:rsidRPr="00341581" w:rsidRDefault="004F5CC2" w:rsidP="001A7E9D">
      <w:pPr>
        <w:pStyle w:val="Heading1"/>
        <w:ind w:left="0" w:right="77"/>
      </w:pPr>
      <w:bookmarkStart w:id="65" w:name="_Toc442339178"/>
      <w:bookmarkStart w:id="66" w:name="_Toc460406675"/>
      <w:bookmarkStart w:id="67" w:name="_Toc460406825"/>
      <w:bookmarkStart w:id="68" w:name="_Toc460406861"/>
      <w:bookmarkStart w:id="69" w:name="_Toc460406940"/>
      <w:bookmarkStart w:id="70" w:name="_Toc460407054"/>
      <w:bookmarkStart w:id="71" w:name="_Toc492622950"/>
      <w:bookmarkEnd w:id="45"/>
      <w:bookmarkEnd w:id="46"/>
      <w:r>
        <w:lastRenderedPageBreak/>
        <w:t>Financial s</w:t>
      </w:r>
      <w:r w:rsidR="00583F71" w:rsidRPr="00341581">
        <w:t>ummary</w:t>
      </w:r>
      <w:bookmarkEnd w:id="65"/>
      <w:bookmarkEnd w:id="66"/>
      <w:bookmarkEnd w:id="67"/>
      <w:bookmarkEnd w:id="68"/>
      <w:bookmarkEnd w:id="69"/>
      <w:bookmarkEnd w:id="70"/>
      <w:bookmarkEnd w:id="71"/>
    </w:p>
    <w:p w14:paraId="5E28EED8" w14:textId="77777777" w:rsidR="00405941" w:rsidRPr="00341581" w:rsidRDefault="00405941" w:rsidP="007703EB">
      <w:pPr>
        <w:pStyle w:val="Heading2"/>
      </w:pPr>
      <w:bookmarkStart w:id="72" w:name="_Toc415049809"/>
      <w:bookmarkStart w:id="73" w:name="_Toc415050361"/>
      <w:bookmarkStart w:id="74" w:name="_Toc441671806"/>
      <w:bookmarkStart w:id="75" w:name="_Toc441672094"/>
      <w:bookmarkStart w:id="76" w:name="_Toc442168881"/>
      <w:bookmarkStart w:id="77" w:name="_Toc460406676"/>
      <w:bookmarkStart w:id="78" w:name="_Toc460406826"/>
      <w:bookmarkStart w:id="79" w:name="_Toc460406862"/>
      <w:bookmarkStart w:id="80" w:name="_Toc460406941"/>
      <w:bookmarkStart w:id="81" w:name="_Toc460407055"/>
      <w:bookmarkStart w:id="82" w:name="_Toc492622951"/>
      <w:r w:rsidRPr="006C443A">
        <w:t>Summary of financial performance</w:t>
      </w:r>
      <w:bookmarkEnd w:id="72"/>
      <w:bookmarkEnd w:id="73"/>
      <w:bookmarkEnd w:id="74"/>
      <w:bookmarkEnd w:id="75"/>
      <w:bookmarkEnd w:id="76"/>
      <w:bookmarkEnd w:id="77"/>
      <w:bookmarkEnd w:id="78"/>
      <w:bookmarkEnd w:id="79"/>
      <w:bookmarkEnd w:id="80"/>
      <w:bookmarkEnd w:id="81"/>
      <w:bookmarkEnd w:id="82"/>
    </w:p>
    <w:p w14:paraId="48D9B95B" w14:textId="77777777" w:rsidR="000B3615" w:rsidRPr="00053C75" w:rsidRDefault="000B3615" w:rsidP="001A7E9D">
      <w:pPr>
        <w:ind w:left="-142"/>
      </w:pPr>
      <w:r>
        <w:t>The following table summarises the operating result and financial position for the Office of the IGEM for 2016-17 and the previous financial year.</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2"/>
        <w:gridCol w:w="1538"/>
        <w:gridCol w:w="1418"/>
      </w:tblGrid>
      <w:tr w:rsidR="000B3615" w14:paraId="34F3DBC6"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shd w:val="clear" w:color="auto" w:fill="AB054C"/>
            <w:hideMark/>
          </w:tcPr>
          <w:p w14:paraId="57EECB0C" w14:textId="77777777" w:rsidR="000B3615" w:rsidRPr="00662315" w:rsidRDefault="000B3615" w:rsidP="002821D9">
            <w:pPr>
              <w:autoSpaceDE w:val="0"/>
              <w:autoSpaceDN w:val="0"/>
              <w:adjustRightInd w:val="0"/>
              <w:ind w:right="-108"/>
              <w:rPr>
                <w:b/>
                <w:color w:val="FFFFFF" w:themeColor="background1"/>
              </w:rPr>
            </w:pPr>
            <w:r w:rsidRPr="00662315">
              <w:rPr>
                <w:b/>
                <w:color w:val="FFFFFF" w:themeColor="background1"/>
              </w:rPr>
              <w:t>Statement of comprehensive income</w:t>
            </w:r>
          </w:p>
        </w:tc>
        <w:tc>
          <w:tcPr>
            <w:tcW w:w="1538" w:type="dxa"/>
            <w:tcBorders>
              <w:top w:val="single" w:sz="4" w:space="0" w:color="auto"/>
              <w:left w:val="single" w:sz="4" w:space="0" w:color="auto"/>
              <w:bottom w:val="single" w:sz="4" w:space="0" w:color="auto"/>
              <w:right w:val="single" w:sz="4" w:space="0" w:color="auto"/>
            </w:tcBorders>
            <w:shd w:val="clear" w:color="auto" w:fill="AB054C"/>
          </w:tcPr>
          <w:p w14:paraId="7EF0700F" w14:textId="77777777" w:rsidR="000B3615" w:rsidRPr="00662315" w:rsidRDefault="000B3615" w:rsidP="002821D9">
            <w:pPr>
              <w:autoSpaceDE w:val="0"/>
              <w:autoSpaceDN w:val="0"/>
              <w:adjustRightInd w:val="0"/>
              <w:ind w:right="-108"/>
              <w:jc w:val="center"/>
              <w:rPr>
                <w:b/>
                <w:color w:val="FFFFFF" w:themeColor="background1"/>
              </w:rPr>
            </w:pPr>
            <w:r w:rsidRPr="00662315">
              <w:rPr>
                <w:b/>
                <w:color w:val="FFFFFF" w:themeColor="background1"/>
              </w:rPr>
              <w:t>2016-17</w:t>
            </w:r>
          </w:p>
          <w:p w14:paraId="7139A323" w14:textId="7DAED935" w:rsidR="000B3615" w:rsidRPr="00662315" w:rsidDel="002E3464" w:rsidRDefault="000B3615">
            <w:pPr>
              <w:autoSpaceDE w:val="0"/>
              <w:autoSpaceDN w:val="0"/>
              <w:adjustRightInd w:val="0"/>
              <w:ind w:right="-108"/>
              <w:jc w:val="center"/>
              <w:rPr>
                <w:b/>
                <w:color w:val="FFFFFF" w:themeColor="background1"/>
              </w:rPr>
            </w:pPr>
            <w:r w:rsidRPr="00662315">
              <w:rPr>
                <w:b/>
                <w:color w:val="FFFFFF" w:themeColor="background1"/>
              </w:rPr>
              <w:t>$’000</w:t>
            </w:r>
          </w:p>
        </w:tc>
        <w:tc>
          <w:tcPr>
            <w:tcW w:w="1418" w:type="dxa"/>
            <w:tcBorders>
              <w:top w:val="single" w:sz="4" w:space="0" w:color="auto"/>
              <w:left w:val="single" w:sz="4" w:space="0" w:color="auto"/>
              <w:bottom w:val="single" w:sz="4" w:space="0" w:color="auto"/>
              <w:right w:val="single" w:sz="4" w:space="0" w:color="auto"/>
            </w:tcBorders>
            <w:shd w:val="clear" w:color="auto" w:fill="AB054C"/>
          </w:tcPr>
          <w:p w14:paraId="4B345ADE" w14:textId="77777777" w:rsidR="000B3615" w:rsidRPr="00662315" w:rsidRDefault="000B3615" w:rsidP="002821D9">
            <w:pPr>
              <w:autoSpaceDE w:val="0"/>
              <w:autoSpaceDN w:val="0"/>
              <w:adjustRightInd w:val="0"/>
              <w:ind w:right="-108"/>
              <w:jc w:val="center"/>
              <w:rPr>
                <w:b/>
                <w:color w:val="FFFFFF" w:themeColor="background1"/>
              </w:rPr>
            </w:pPr>
            <w:r w:rsidRPr="00662315">
              <w:rPr>
                <w:b/>
                <w:color w:val="FFFFFF" w:themeColor="background1"/>
              </w:rPr>
              <w:t>2015-16</w:t>
            </w:r>
          </w:p>
          <w:p w14:paraId="2D230E99" w14:textId="674C859D" w:rsidR="000B3615" w:rsidRPr="00662315" w:rsidRDefault="000B3615">
            <w:pPr>
              <w:autoSpaceDE w:val="0"/>
              <w:autoSpaceDN w:val="0"/>
              <w:adjustRightInd w:val="0"/>
              <w:ind w:right="-108"/>
              <w:jc w:val="center"/>
              <w:rPr>
                <w:b/>
                <w:color w:val="FFFFFF" w:themeColor="background1"/>
              </w:rPr>
            </w:pPr>
            <w:r w:rsidRPr="00662315">
              <w:rPr>
                <w:b/>
                <w:color w:val="FFFFFF" w:themeColor="background1"/>
              </w:rPr>
              <w:t>$’000</w:t>
            </w:r>
          </w:p>
        </w:tc>
      </w:tr>
      <w:tr w:rsidR="000B3615" w14:paraId="2C59820D" w14:textId="77777777" w:rsidTr="00072961">
        <w:trPr>
          <w:trHeight w:val="200"/>
        </w:trPr>
        <w:tc>
          <w:tcPr>
            <w:tcW w:w="6542" w:type="dxa"/>
            <w:tcBorders>
              <w:top w:val="single" w:sz="4" w:space="0" w:color="auto"/>
              <w:left w:val="single" w:sz="4" w:space="0" w:color="auto"/>
              <w:bottom w:val="single" w:sz="4" w:space="0" w:color="auto"/>
              <w:right w:val="single" w:sz="4" w:space="0" w:color="auto"/>
            </w:tcBorders>
          </w:tcPr>
          <w:p w14:paraId="494D0913" w14:textId="4775A650" w:rsidR="000B3615" w:rsidRPr="00EB4B72" w:rsidRDefault="000B3615" w:rsidP="00662315">
            <w:pPr>
              <w:autoSpaceDE w:val="0"/>
              <w:autoSpaceDN w:val="0"/>
              <w:adjustRightInd w:val="0"/>
              <w:ind w:right="-108"/>
              <w:rPr>
                <w:szCs w:val="22"/>
              </w:rPr>
            </w:pPr>
            <w:r w:rsidRPr="00EB4B72">
              <w:rPr>
                <w:szCs w:val="22"/>
              </w:rPr>
              <w:t>Total income from continuing operations</w:t>
            </w:r>
          </w:p>
        </w:tc>
        <w:tc>
          <w:tcPr>
            <w:tcW w:w="1538" w:type="dxa"/>
            <w:tcBorders>
              <w:top w:val="single" w:sz="4" w:space="0" w:color="auto"/>
              <w:left w:val="single" w:sz="4" w:space="0" w:color="auto"/>
              <w:bottom w:val="single" w:sz="4" w:space="0" w:color="auto"/>
              <w:right w:val="single" w:sz="4" w:space="0" w:color="auto"/>
            </w:tcBorders>
          </w:tcPr>
          <w:p w14:paraId="2B620A40" w14:textId="77777777" w:rsidR="000B3615" w:rsidRDefault="000B3615" w:rsidP="002821D9">
            <w:pPr>
              <w:autoSpaceDE w:val="0"/>
              <w:autoSpaceDN w:val="0"/>
              <w:adjustRightInd w:val="0"/>
              <w:ind w:right="-108"/>
              <w:jc w:val="center"/>
            </w:pPr>
            <w:r>
              <w:t>4,591</w:t>
            </w:r>
          </w:p>
        </w:tc>
        <w:tc>
          <w:tcPr>
            <w:tcW w:w="1418" w:type="dxa"/>
            <w:tcBorders>
              <w:top w:val="single" w:sz="4" w:space="0" w:color="auto"/>
              <w:left w:val="single" w:sz="4" w:space="0" w:color="auto"/>
              <w:bottom w:val="single" w:sz="4" w:space="0" w:color="auto"/>
              <w:right w:val="single" w:sz="4" w:space="0" w:color="auto"/>
            </w:tcBorders>
          </w:tcPr>
          <w:p w14:paraId="6B3005C0" w14:textId="77777777" w:rsidR="000B3615" w:rsidRDefault="000B3615" w:rsidP="002821D9">
            <w:pPr>
              <w:autoSpaceDE w:val="0"/>
              <w:autoSpaceDN w:val="0"/>
              <w:adjustRightInd w:val="0"/>
              <w:ind w:right="-108"/>
              <w:jc w:val="center"/>
            </w:pPr>
            <w:r>
              <w:t>4,644</w:t>
            </w:r>
          </w:p>
        </w:tc>
      </w:tr>
      <w:tr w:rsidR="000B3615" w14:paraId="5F461F41"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tcPr>
          <w:p w14:paraId="01ECCEF6" w14:textId="077A3191" w:rsidR="000B3615" w:rsidRDefault="000B3615" w:rsidP="00662315">
            <w:pPr>
              <w:autoSpaceDE w:val="0"/>
              <w:autoSpaceDN w:val="0"/>
              <w:adjustRightInd w:val="0"/>
              <w:ind w:right="-108"/>
            </w:pPr>
            <w:r>
              <w:t>Total expenses from continuing operations</w:t>
            </w:r>
          </w:p>
        </w:tc>
        <w:tc>
          <w:tcPr>
            <w:tcW w:w="1538" w:type="dxa"/>
            <w:tcBorders>
              <w:top w:val="single" w:sz="4" w:space="0" w:color="auto"/>
              <w:left w:val="single" w:sz="4" w:space="0" w:color="auto"/>
              <w:bottom w:val="single" w:sz="4" w:space="0" w:color="auto"/>
              <w:right w:val="single" w:sz="4" w:space="0" w:color="auto"/>
            </w:tcBorders>
          </w:tcPr>
          <w:p w14:paraId="74CC65CB" w14:textId="77777777" w:rsidR="000B3615" w:rsidRDefault="000B3615" w:rsidP="002821D9">
            <w:pPr>
              <w:autoSpaceDE w:val="0"/>
              <w:autoSpaceDN w:val="0"/>
              <w:adjustRightInd w:val="0"/>
              <w:ind w:right="-108"/>
              <w:jc w:val="center"/>
            </w:pPr>
            <w:r>
              <w:t>4,543</w:t>
            </w:r>
          </w:p>
        </w:tc>
        <w:tc>
          <w:tcPr>
            <w:tcW w:w="1418" w:type="dxa"/>
            <w:tcBorders>
              <w:top w:val="single" w:sz="4" w:space="0" w:color="auto"/>
              <w:left w:val="single" w:sz="4" w:space="0" w:color="auto"/>
              <w:bottom w:val="single" w:sz="4" w:space="0" w:color="auto"/>
              <w:right w:val="single" w:sz="4" w:space="0" w:color="auto"/>
            </w:tcBorders>
          </w:tcPr>
          <w:p w14:paraId="606A0B73" w14:textId="77777777" w:rsidR="000B3615" w:rsidRDefault="000B3615" w:rsidP="002821D9">
            <w:pPr>
              <w:autoSpaceDE w:val="0"/>
              <w:autoSpaceDN w:val="0"/>
              <w:adjustRightInd w:val="0"/>
              <w:ind w:right="-108"/>
              <w:jc w:val="center"/>
            </w:pPr>
            <w:r>
              <w:t>4,370</w:t>
            </w:r>
          </w:p>
        </w:tc>
      </w:tr>
      <w:tr w:rsidR="000B3615" w14:paraId="527E2FFE"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tcPr>
          <w:p w14:paraId="04041F68" w14:textId="75CC4DBB" w:rsidR="000B3615" w:rsidRDefault="000B3615" w:rsidP="00662315">
            <w:pPr>
              <w:autoSpaceDE w:val="0"/>
              <w:autoSpaceDN w:val="0"/>
              <w:adjustRightInd w:val="0"/>
              <w:ind w:right="-108"/>
            </w:pPr>
            <w:r>
              <w:t>Other comprehensive income</w:t>
            </w:r>
          </w:p>
        </w:tc>
        <w:tc>
          <w:tcPr>
            <w:tcW w:w="1538" w:type="dxa"/>
            <w:tcBorders>
              <w:top w:val="single" w:sz="4" w:space="0" w:color="auto"/>
              <w:left w:val="single" w:sz="4" w:space="0" w:color="auto"/>
              <w:bottom w:val="single" w:sz="4" w:space="0" w:color="auto"/>
              <w:right w:val="single" w:sz="4" w:space="0" w:color="auto"/>
            </w:tcBorders>
          </w:tcPr>
          <w:p w14:paraId="2D358F7B" w14:textId="77777777" w:rsidR="000B3615" w:rsidRDefault="000B3615" w:rsidP="002821D9">
            <w:pPr>
              <w:autoSpaceDE w:val="0"/>
              <w:autoSpaceDN w:val="0"/>
              <w:adjustRightInd w:val="0"/>
              <w:ind w:right="-108"/>
              <w:jc w:val="center"/>
            </w:pPr>
            <w:r>
              <w:t>Nil</w:t>
            </w:r>
          </w:p>
        </w:tc>
        <w:tc>
          <w:tcPr>
            <w:tcW w:w="1418" w:type="dxa"/>
            <w:tcBorders>
              <w:top w:val="single" w:sz="4" w:space="0" w:color="auto"/>
              <w:left w:val="single" w:sz="4" w:space="0" w:color="auto"/>
              <w:bottom w:val="single" w:sz="4" w:space="0" w:color="auto"/>
              <w:right w:val="single" w:sz="4" w:space="0" w:color="auto"/>
            </w:tcBorders>
          </w:tcPr>
          <w:p w14:paraId="7ACE2C16" w14:textId="77777777" w:rsidR="000B3615" w:rsidRDefault="000B3615" w:rsidP="002821D9">
            <w:pPr>
              <w:autoSpaceDE w:val="0"/>
              <w:autoSpaceDN w:val="0"/>
              <w:adjustRightInd w:val="0"/>
              <w:ind w:right="-108"/>
              <w:jc w:val="center"/>
            </w:pPr>
            <w:r>
              <w:t>Nil</w:t>
            </w:r>
          </w:p>
        </w:tc>
      </w:tr>
      <w:tr w:rsidR="000B3615" w14:paraId="643F1883"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tcPr>
          <w:p w14:paraId="0ABE8B73" w14:textId="39CEF8C5" w:rsidR="000B3615" w:rsidRDefault="000B3615" w:rsidP="00662315">
            <w:pPr>
              <w:autoSpaceDE w:val="0"/>
              <w:autoSpaceDN w:val="0"/>
              <w:adjustRightInd w:val="0"/>
              <w:ind w:right="-108"/>
              <w:rPr>
                <w:b/>
              </w:rPr>
            </w:pPr>
            <w:r>
              <w:rPr>
                <w:b/>
              </w:rPr>
              <w:t>Total comprehensive income</w:t>
            </w:r>
          </w:p>
        </w:tc>
        <w:tc>
          <w:tcPr>
            <w:tcW w:w="1538" w:type="dxa"/>
            <w:tcBorders>
              <w:top w:val="single" w:sz="4" w:space="0" w:color="auto"/>
              <w:left w:val="single" w:sz="4" w:space="0" w:color="auto"/>
              <w:bottom w:val="single" w:sz="4" w:space="0" w:color="auto"/>
              <w:right w:val="single" w:sz="4" w:space="0" w:color="auto"/>
            </w:tcBorders>
          </w:tcPr>
          <w:p w14:paraId="4AF88315" w14:textId="77777777" w:rsidR="000B3615" w:rsidDel="00431A8D" w:rsidRDefault="000B3615" w:rsidP="002821D9">
            <w:pPr>
              <w:autoSpaceDE w:val="0"/>
              <w:autoSpaceDN w:val="0"/>
              <w:adjustRightInd w:val="0"/>
              <w:ind w:right="-108"/>
              <w:jc w:val="center"/>
              <w:rPr>
                <w:b/>
              </w:rPr>
            </w:pPr>
            <w:r>
              <w:rPr>
                <w:b/>
              </w:rPr>
              <w:t>48</w:t>
            </w:r>
          </w:p>
        </w:tc>
        <w:tc>
          <w:tcPr>
            <w:tcW w:w="1418" w:type="dxa"/>
            <w:tcBorders>
              <w:top w:val="single" w:sz="4" w:space="0" w:color="auto"/>
              <w:left w:val="single" w:sz="4" w:space="0" w:color="auto"/>
              <w:bottom w:val="single" w:sz="4" w:space="0" w:color="auto"/>
              <w:right w:val="single" w:sz="4" w:space="0" w:color="auto"/>
            </w:tcBorders>
          </w:tcPr>
          <w:p w14:paraId="3AC9A155" w14:textId="77777777" w:rsidR="000B3615" w:rsidRDefault="000B3615" w:rsidP="002821D9">
            <w:pPr>
              <w:autoSpaceDE w:val="0"/>
              <w:autoSpaceDN w:val="0"/>
              <w:adjustRightInd w:val="0"/>
              <w:ind w:right="-108"/>
              <w:jc w:val="center"/>
              <w:rPr>
                <w:b/>
              </w:rPr>
            </w:pPr>
            <w:r>
              <w:rPr>
                <w:b/>
              </w:rPr>
              <w:t>274</w:t>
            </w:r>
          </w:p>
        </w:tc>
      </w:tr>
      <w:tr w:rsidR="000B3615" w14:paraId="36DD105D"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shd w:val="clear" w:color="auto" w:fill="AB054C"/>
          </w:tcPr>
          <w:p w14:paraId="7CCC5957" w14:textId="542A5E87" w:rsidR="000B3615" w:rsidRPr="00662315" w:rsidRDefault="000B3615">
            <w:pPr>
              <w:autoSpaceDE w:val="0"/>
              <w:autoSpaceDN w:val="0"/>
              <w:adjustRightInd w:val="0"/>
              <w:ind w:right="-108"/>
              <w:rPr>
                <w:color w:val="FFFFFF" w:themeColor="background1"/>
              </w:rPr>
            </w:pPr>
            <w:r w:rsidRPr="00662315">
              <w:rPr>
                <w:b/>
                <w:color w:val="FFFFFF" w:themeColor="background1"/>
              </w:rPr>
              <w:t>Statement of financial position</w:t>
            </w:r>
          </w:p>
        </w:tc>
        <w:tc>
          <w:tcPr>
            <w:tcW w:w="1538" w:type="dxa"/>
            <w:tcBorders>
              <w:top w:val="single" w:sz="4" w:space="0" w:color="auto"/>
              <w:left w:val="single" w:sz="4" w:space="0" w:color="auto"/>
              <w:bottom w:val="single" w:sz="4" w:space="0" w:color="auto"/>
              <w:right w:val="single" w:sz="4" w:space="0" w:color="auto"/>
            </w:tcBorders>
            <w:shd w:val="clear" w:color="auto" w:fill="AB054C"/>
          </w:tcPr>
          <w:p w14:paraId="468C6B2C" w14:textId="77777777" w:rsidR="000B3615" w:rsidRPr="00662315" w:rsidRDefault="000B3615" w:rsidP="002821D9">
            <w:pPr>
              <w:autoSpaceDE w:val="0"/>
              <w:autoSpaceDN w:val="0"/>
              <w:adjustRightInd w:val="0"/>
              <w:ind w:right="-108"/>
              <w:jc w:val="center"/>
              <w:rPr>
                <w:color w:val="FFFFFF" w:themeColor="background1"/>
              </w:rPr>
            </w:pPr>
          </w:p>
        </w:tc>
        <w:tc>
          <w:tcPr>
            <w:tcW w:w="1418" w:type="dxa"/>
            <w:tcBorders>
              <w:top w:val="single" w:sz="4" w:space="0" w:color="auto"/>
              <w:left w:val="single" w:sz="4" w:space="0" w:color="auto"/>
              <w:bottom w:val="single" w:sz="4" w:space="0" w:color="auto"/>
              <w:right w:val="single" w:sz="4" w:space="0" w:color="auto"/>
            </w:tcBorders>
            <w:shd w:val="clear" w:color="auto" w:fill="AB054C"/>
          </w:tcPr>
          <w:p w14:paraId="13F84789" w14:textId="77777777" w:rsidR="000B3615" w:rsidRPr="00662315" w:rsidRDefault="000B3615" w:rsidP="002821D9">
            <w:pPr>
              <w:autoSpaceDE w:val="0"/>
              <w:autoSpaceDN w:val="0"/>
              <w:adjustRightInd w:val="0"/>
              <w:ind w:right="-108"/>
              <w:jc w:val="center"/>
              <w:rPr>
                <w:color w:val="FFFFFF" w:themeColor="background1"/>
              </w:rPr>
            </w:pPr>
          </w:p>
        </w:tc>
      </w:tr>
      <w:tr w:rsidR="000B3615" w14:paraId="645049D9"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tcPr>
          <w:p w14:paraId="221DCE95" w14:textId="78794D63" w:rsidR="000B3615" w:rsidRDefault="000B3615" w:rsidP="00662315">
            <w:pPr>
              <w:autoSpaceDE w:val="0"/>
              <w:autoSpaceDN w:val="0"/>
              <w:adjustRightInd w:val="0"/>
              <w:ind w:right="-108"/>
            </w:pPr>
            <w:r>
              <w:t>Total assets</w:t>
            </w:r>
          </w:p>
        </w:tc>
        <w:tc>
          <w:tcPr>
            <w:tcW w:w="1538" w:type="dxa"/>
            <w:tcBorders>
              <w:top w:val="single" w:sz="4" w:space="0" w:color="auto"/>
              <w:left w:val="single" w:sz="4" w:space="0" w:color="auto"/>
              <w:bottom w:val="single" w:sz="4" w:space="0" w:color="auto"/>
              <w:right w:val="single" w:sz="4" w:space="0" w:color="auto"/>
            </w:tcBorders>
          </w:tcPr>
          <w:p w14:paraId="6C8ADE34" w14:textId="77777777" w:rsidR="000B3615" w:rsidRDefault="000B3615" w:rsidP="002821D9">
            <w:pPr>
              <w:autoSpaceDE w:val="0"/>
              <w:autoSpaceDN w:val="0"/>
              <w:adjustRightInd w:val="0"/>
              <w:ind w:right="-108"/>
              <w:jc w:val="center"/>
            </w:pPr>
            <w:r>
              <w:t>1,545</w:t>
            </w:r>
          </w:p>
        </w:tc>
        <w:tc>
          <w:tcPr>
            <w:tcW w:w="1418" w:type="dxa"/>
            <w:tcBorders>
              <w:top w:val="single" w:sz="4" w:space="0" w:color="auto"/>
              <w:left w:val="single" w:sz="4" w:space="0" w:color="auto"/>
              <w:bottom w:val="single" w:sz="4" w:space="0" w:color="auto"/>
              <w:right w:val="single" w:sz="4" w:space="0" w:color="auto"/>
            </w:tcBorders>
          </w:tcPr>
          <w:p w14:paraId="267B53F3" w14:textId="77777777" w:rsidR="000B3615" w:rsidRDefault="000B3615" w:rsidP="002821D9">
            <w:pPr>
              <w:autoSpaceDE w:val="0"/>
              <w:autoSpaceDN w:val="0"/>
              <w:adjustRightInd w:val="0"/>
              <w:ind w:right="-108"/>
              <w:jc w:val="center"/>
            </w:pPr>
            <w:r>
              <w:t>1,476</w:t>
            </w:r>
          </w:p>
        </w:tc>
      </w:tr>
      <w:tr w:rsidR="000B3615" w14:paraId="13C78736" w14:textId="77777777" w:rsidTr="00EB4B72">
        <w:trPr>
          <w:trHeight w:val="20"/>
        </w:trPr>
        <w:tc>
          <w:tcPr>
            <w:tcW w:w="6542" w:type="dxa"/>
            <w:tcBorders>
              <w:top w:val="single" w:sz="4" w:space="0" w:color="auto"/>
              <w:left w:val="single" w:sz="4" w:space="0" w:color="auto"/>
              <w:bottom w:val="single" w:sz="4" w:space="0" w:color="auto"/>
              <w:right w:val="single" w:sz="4" w:space="0" w:color="auto"/>
            </w:tcBorders>
          </w:tcPr>
          <w:p w14:paraId="375025FA" w14:textId="609AC1D4" w:rsidR="000B3615" w:rsidRDefault="000B3615" w:rsidP="00662315">
            <w:pPr>
              <w:autoSpaceDE w:val="0"/>
              <w:autoSpaceDN w:val="0"/>
              <w:adjustRightInd w:val="0"/>
              <w:ind w:right="-108"/>
            </w:pPr>
            <w:r>
              <w:t>Total liabilities</w:t>
            </w:r>
          </w:p>
        </w:tc>
        <w:tc>
          <w:tcPr>
            <w:tcW w:w="1538" w:type="dxa"/>
            <w:tcBorders>
              <w:top w:val="single" w:sz="4" w:space="0" w:color="auto"/>
              <w:left w:val="single" w:sz="4" w:space="0" w:color="auto"/>
              <w:bottom w:val="single" w:sz="4" w:space="0" w:color="auto"/>
              <w:right w:val="single" w:sz="4" w:space="0" w:color="auto"/>
            </w:tcBorders>
          </w:tcPr>
          <w:p w14:paraId="18CDA93C" w14:textId="77777777" w:rsidR="000B3615" w:rsidDel="00F76F8F" w:rsidRDefault="000B3615" w:rsidP="002821D9">
            <w:pPr>
              <w:autoSpaceDE w:val="0"/>
              <w:autoSpaceDN w:val="0"/>
              <w:adjustRightInd w:val="0"/>
              <w:ind w:right="-108"/>
              <w:jc w:val="center"/>
            </w:pPr>
            <w:r>
              <w:t>385</w:t>
            </w:r>
          </w:p>
        </w:tc>
        <w:tc>
          <w:tcPr>
            <w:tcW w:w="1418" w:type="dxa"/>
            <w:tcBorders>
              <w:top w:val="single" w:sz="4" w:space="0" w:color="auto"/>
              <w:left w:val="single" w:sz="4" w:space="0" w:color="auto"/>
              <w:bottom w:val="single" w:sz="4" w:space="0" w:color="auto"/>
              <w:right w:val="single" w:sz="4" w:space="0" w:color="auto"/>
            </w:tcBorders>
          </w:tcPr>
          <w:p w14:paraId="24E22C3B" w14:textId="77777777" w:rsidR="000B3615" w:rsidRDefault="000B3615" w:rsidP="002821D9">
            <w:pPr>
              <w:autoSpaceDE w:val="0"/>
              <w:autoSpaceDN w:val="0"/>
              <w:adjustRightInd w:val="0"/>
              <w:ind w:right="-108"/>
              <w:jc w:val="center"/>
            </w:pPr>
            <w:r>
              <w:t>362</w:t>
            </w:r>
          </w:p>
        </w:tc>
      </w:tr>
      <w:tr w:rsidR="000B3615" w14:paraId="311E0257" w14:textId="77777777" w:rsidTr="00072961">
        <w:trPr>
          <w:trHeight w:val="364"/>
        </w:trPr>
        <w:tc>
          <w:tcPr>
            <w:tcW w:w="6542" w:type="dxa"/>
            <w:tcBorders>
              <w:top w:val="single" w:sz="4" w:space="0" w:color="auto"/>
              <w:left w:val="single" w:sz="4" w:space="0" w:color="auto"/>
              <w:bottom w:val="single" w:sz="4" w:space="0" w:color="auto"/>
              <w:right w:val="single" w:sz="4" w:space="0" w:color="auto"/>
            </w:tcBorders>
          </w:tcPr>
          <w:p w14:paraId="1A082661" w14:textId="2C0ACD64" w:rsidR="000B3615" w:rsidRDefault="000B3615" w:rsidP="00662315">
            <w:pPr>
              <w:autoSpaceDE w:val="0"/>
              <w:autoSpaceDN w:val="0"/>
              <w:adjustRightInd w:val="0"/>
              <w:ind w:right="-108"/>
              <w:rPr>
                <w:b/>
              </w:rPr>
            </w:pPr>
            <w:r>
              <w:rPr>
                <w:b/>
              </w:rPr>
              <w:t>Net assets (equity)</w:t>
            </w:r>
          </w:p>
        </w:tc>
        <w:tc>
          <w:tcPr>
            <w:tcW w:w="1538" w:type="dxa"/>
            <w:tcBorders>
              <w:top w:val="single" w:sz="4" w:space="0" w:color="auto"/>
              <w:left w:val="single" w:sz="4" w:space="0" w:color="auto"/>
              <w:bottom w:val="single" w:sz="4" w:space="0" w:color="auto"/>
              <w:right w:val="single" w:sz="4" w:space="0" w:color="auto"/>
            </w:tcBorders>
          </w:tcPr>
          <w:p w14:paraId="45B526F6" w14:textId="77777777" w:rsidR="000B3615" w:rsidDel="00381A75" w:rsidRDefault="000B3615" w:rsidP="002821D9">
            <w:pPr>
              <w:autoSpaceDE w:val="0"/>
              <w:autoSpaceDN w:val="0"/>
              <w:adjustRightInd w:val="0"/>
              <w:ind w:right="-108"/>
              <w:jc w:val="center"/>
              <w:rPr>
                <w:b/>
              </w:rPr>
            </w:pPr>
            <w:r>
              <w:rPr>
                <w:b/>
              </w:rPr>
              <w:t>1,160</w:t>
            </w:r>
          </w:p>
        </w:tc>
        <w:tc>
          <w:tcPr>
            <w:tcW w:w="1418" w:type="dxa"/>
            <w:tcBorders>
              <w:top w:val="single" w:sz="4" w:space="0" w:color="auto"/>
              <w:left w:val="single" w:sz="4" w:space="0" w:color="auto"/>
              <w:bottom w:val="single" w:sz="4" w:space="0" w:color="auto"/>
              <w:right w:val="single" w:sz="4" w:space="0" w:color="auto"/>
            </w:tcBorders>
          </w:tcPr>
          <w:p w14:paraId="51A48F65" w14:textId="77777777" w:rsidR="000B3615" w:rsidRDefault="000B3615" w:rsidP="002821D9">
            <w:pPr>
              <w:autoSpaceDE w:val="0"/>
              <w:autoSpaceDN w:val="0"/>
              <w:adjustRightInd w:val="0"/>
              <w:ind w:right="-108"/>
              <w:jc w:val="center"/>
              <w:rPr>
                <w:b/>
              </w:rPr>
            </w:pPr>
            <w:r>
              <w:rPr>
                <w:b/>
              </w:rPr>
              <w:t>1,114</w:t>
            </w:r>
          </w:p>
        </w:tc>
      </w:tr>
    </w:tbl>
    <w:p w14:paraId="2331231B" w14:textId="77777777" w:rsidR="000B3615" w:rsidRPr="00662315" w:rsidRDefault="000B3615" w:rsidP="001A7E9D">
      <w:pPr>
        <w:ind w:left="-142"/>
      </w:pPr>
      <w:r w:rsidRPr="00662315">
        <w:t>For 2016-17, the Office of the IGEM received income from continuing operations of $4.59 million and incurred total expenditure from continuing operations of $4.54 million. This was comprised predominantly of:</w:t>
      </w:r>
    </w:p>
    <w:p w14:paraId="754B39A6" w14:textId="77777777" w:rsidR="000B3615" w:rsidRPr="00662315" w:rsidRDefault="000B3615" w:rsidP="001A7E9D">
      <w:pPr>
        <w:spacing w:before="240"/>
        <w:ind w:hanging="142"/>
        <w:rPr>
          <w:b/>
        </w:rPr>
      </w:pPr>
      <w:r w:rsidRPr="00662315">
        <w:rPr>
          <w:b/>
        </w:rPr>
        <w:t>Income</w:t>
      </w:r>
    </w:p>
    <w:p w14:paraId="3F24EF87" w14:textId="77777777" w:rsidR="000B3615" w:rsidRPr="00662315" w:rsidRDefault="000B3615" w:rsidP="001A7E9D">
      <w:pPr>
        <w:numPr>
          <w:ilvl w:val="0"/>
          <w:numId w:val="39"/>
        </w:numPr>
        <w:spacing w:before="0" w:after="0"/>
        <w:ind w:hanging="502"/>
      </w:pPr>
      <w:r w:rsidRPr="00662315">
        <w:t xml:space="preserve">appropriation revenue $3.94 million </w:t>
      </w:r>
    </w:p>
    <w:p w14:paraId="05815E9A" w14:textId="57BAB7AC" w:rsidR="000B3615" w:rsidRPr="00662315" w:rsidRDefault="000B3615" w:rsidP="001A7E9D">
      <w:pPr>
        <w:numPr>
          <w:ilvl w:val="0"/>
          <w:numId w:val="39"/>
        </w:numPr>
        <w:spacing w:before="0" w:after="0"/>
        <w:ind w:hanging="502"/>
      </w:pPr>
      <w:r w:rsidRPr="00662315">
        <w:t>services received below fair value $0.64 million</w:t>
      </w:r>
    </w:p>
    <w:p w14:paraId="4F16E39B" w14:textId="77777777" w:rsidR="000B3615" w:rsidRPr="00662315" w:rsidRDefault="000B3615" w:rsidP="001A7E9D">
      <w:pPr>
        <w:spacing w:before="240"/>
        <w:ind w:hanging="142"/>
        <w:rPr>
          <w:b/>
        </w:rPr>
      </w:pPr>
      <w:r w:rsidRPr="00662315">
        <w:rPr>
          <w:b/>
        </w:rPr>
        <w:t>Expenses</w:t>
      </w:r>
    </w:p>
    <w:p w14:paraId="2DA982FF" w14:textId="77777777" w:rsidR="000B3615" w:rsidRPr="00662315" w:rsidRDefault="000B3615" w:rsidP="001A7E9D">
      <w:pPr>
        <w:numPr>
          <w:ilvl w:val="0"/>
          <w:numId w:val="39"/>
        </w:numPr>
        <w:spacing w:before="0" w:after="0"/>
        <w:ind w:hanging="502"/>
      </w:pPr>
      <w:r w:rsidRPr="00662315">
        <w:t>employee expenses $2.64 million</w:t>
      </w:r>
    </w:p>
    <w:p w14:paraId="5B133425" w14:textId="77777777" w:rsidR="000B3615" w:rsidRPr="00662315" w:rsidRDefault="000B3615" w:rsidP="001A7E9D">
      <w:pPr>
        <w:numPr>
          <w:ilvl w:val="0"/>
          <w:numId w:val="39"/>
        </w:numPr>
        <w:spacing w:before="0" w:after="0"/>
        <w:ind w:hanging="502"/>
      </w:pPr>
      <w:r w:rsidRPr="00662315">
        <w:t>supplies and services $1.24 million</w:t>
      </w:r>
    </w:p>
    <w:p w14:paraId="0AC46289" w14:textId="77777777" w:rsidR="000B3615" w:rsidRPr="00662315" w:rsidRDefault="000B3615" w:rsidP="001A7E9D">
      <w:pPr>
        <w:numPr>
          <w:ilvl w:val="0"/>
          <w:numId w:val="39"/>
        </w:numPr>
        <w:spacing w:before="0" w:after="0"/>
        <w:ind w:hanging="502"/>
      </w:pPr>
      <w:r w:rsidRPr="00662315">
        <w:t>other expenses $0.67 million.</w:t>
      </w:r>
    </w:p>
    <w:p w14:paraId="7375A38E" w14:textId="77777777" w:rsidR="000B3615" w:rsidRPr="000B3615" w:rsidRDefault="000B3615" w:rsidP="001A7E9D">
      <w:pPr>
        <w:spacing w:before="240"/>
        <w:ind w:left="-142"/>
        <w:rPr>
          <w:b/>
        </w:rPr>
      </w:pPr>
      <w:r w:rsidRPr="000B3615">
        <w:rPr>
          <w:b/>
        </w:rPr>
        <w:t>Income and expenses from continuing operations</w:t>
      </w:r>
    </w:p>
    <w:p w14:paraId="78370994" w14:textId="45CD4FA2" w:rsidR="000B3615" w:rsidRDefault="000B3615" w:rsidP="001A7E9D">
      <w:pPr>
        <w:ind w:left="-142"/>
      </w:pPr>
      <w:r>
        <w:t>The Office of the IGEM is responsi</w:t>
      </w:r>
      <w:r w:rsidR="00FB580E">
        <w:t xml:space="preserve">ble for providing the </w:t>
      </w:r>
      <w:r w:rsidR="008B495B">
        <w:t>Minister for Police, Fire and Emergency Services and Minister for Corrective Services</w:t>
      </w:r>
      <w:r w:rsidR="00072961">
        <w:t>,</w:t>
      </w:r>
      <w:r w:rsidR="00FB580E">
        <w:t xml:space="preserve"> g</w:t>
      </w:r>
      <w:r>
        <w:t>overnment and people of Queensland an assurance of public safety, through the establishment and implementation of an assurance framework to direct, guide and focus work of all agenc</w:t>
      </w:r>
      <w:r w:rsidR="00FB580E">
        <w:t>ies, across all tiers of g</w:t>
      </w:r>
      <w:r>
        <w:t xml:space="preserve">overnment to the desired outcomes of the disaster and emergency management arrangements for Queensland. </w:t>
      </w:r>
      <w:r>
        <w:br/>
      </w:r>
      <w:r>
        <w:br/>
        <w:t xml:space="preserve">The Office of the IGEM is funded to deliver the above services predominantly through parliamentary appropriations. The Office of the IGEM is also supported by the PSBA which provides corporate support services to the entity. The value of these services received is recognised as income and as an expense in the statement of comprehensive income. </w:t>
      </w:r>
    </w:p>
    <w:p w14:paraId="2ACB9DE8" w14:textId="77777777" w:rsidR="000B3615" w:rsidRDefault="000B3615" w:rsidP="000B3615">
      <w:pPr>
        <w:jc w:val="both"/>
      </w:pPr>
    </w:p>
    <w:p w14:paraId="7A862E9A" w14:textId="77777777" w:rsidR="00405941" w:rsidRPr="00341581" w:rsidRDefault="00405941" w:rsidP="007703EB">
      <w:pPr>
        <w:pStyle w:val="Heading2"/>
      </w:pPr>
      <w:bookmarkStart w:id="83" w:name="_Toc415049810"/>
      <w:bookmarkStart w:id="84" w:name="_Toc415050362"/>
      <w:bookmarkStart w:id="85" w:name="_Toc441671807"/>
      <w:bookmarkStart w:id="86" w:name="_Toc441672095"/>
      <w:bookmarkStart w:id="87" w:name="_Toc442168882"/>
      <w:bookmarkStart w:id="88" w:name="_Toc460406677"/>
      <w:bookmarkStart w:id="89" w:name="_Toc460406827"/>
      <w:bookmarkStart w:id="90" w:name="_Toc460406863"/>
      <w:bookmarkStart w:id="91" w:name="_Toc460406942"/>
      <w:bookmarkStart w:id="92" w:name="_Toc460407056"/>
      <w:bookmarkStart w:id="93" w:name="_Toc492622952"/>
      <w:r w:rsidRPr="006C443A">
        <w:lastRenderedPageBreak/>
        <w:t>Summary of financial position</w:t>
      </w:r>
      <w:bookmarkEnd w:id="83"/>
      <w:bookmarkEnd w:id="84"/>
      <w:bookmarkEnd w:id="85"/>
      <w:bookmarkEnd w:id="86"/>
      <w:bookmarkEnd w:id="87"/>
      <w:bookmarkEnd w:id="88"/>
      <w:bookmarkEnd w:id="89"/>
      <w:bookmarkEnd w:id="90"/>
      <w:bookmarkEnd w:id="91"/>
      <w:bookmarkEnd w:id="92"/>
      <w:bookmarkEnd w:id="93"/>
    </w:p>
    <w:p w14:paraId="242174AA" w14:textId="77777777" w:rsidR="000B3615" w:rsidRPr="00662315" w:rsidRDefault="000B3615" w:rsidP="001A7E9D">
      <w:pPr>
        <w:ind w:left="-142"/>
      </w:pPr>
      <w:r w:rsidRPr="00662315">
        <w:t>The Office of the IGEM was in a positive financial position at the end of the financial year. The total equity/net assets of the Office of the IGEM at the end of 2016-17 was $1.16 million. This was comprised of:</w:t>
      </w:r>
    </w:p>
    <w:p w14:paraId="408FD0B3" w14:textId="77777777" w:rsidR="000B3615" w:rsidRPr="00662315" w:rsidRDefault="000B3615" w:rsidP="001A7E9D">
      <w:pPr>
        <w:ind w:hanging="142"/>
        <w:rPr>
          <w:b/>
        </w:rPr>
      </w:pPr>
      <w:r w:rsidRPr="00662315">
        <w:rPr>
          <w:b/>
        </w:rPr>
        <w:t>Assets</w:t>
      </w:r>
    </w:p>
    <w:p w14:paraId="6AD33439" w14:textId="77777777" w:rsidR="000B3615" w:rsidRPr="00662315" w:rsidRDefault="000B3615" w:rsidP="001A7E9D">
      <w:pPr>
        <w:numPr>
          <w:ilvl w:val="0"/>
          <w:numId w:val="39"/>
        </w:numPr>
        <w:spacing w:before="0" w:after="0"/>
        <w:ind w:hanging="502"/>
      </w:pPr>
      <w:r w:rsidRPr="00662315">
        <w:t>cash and cash equivalents $1.50 million</w:t>
      </w:r>
    </w:p>
    <w:p w14:paraId="43875343" w14:textId="77777777" w:rsidR="000B3615" w:rsidRPr="00662315" w:rsidRDefault="000B3615" w:rsidP="001A7E9D">
      <w:pPr>
        <w:numPr>
          <w:ilvl w:val="0"/>
          <w:numId w:val="39"/>
        </w:numPr>
        <w:spacing w:before="0" w:after="0"/>
        <w:ind w:hanging="502"/>
      </w:pPr>
      <w:r w:rsidRPr="00662315">
        <w:t>receivables $0.05 million</w:t>
      </w:r>
    </w:p>
    <w:p w14:paraId="316AC4E7" w14:textId="77777777" w:rsidR="000B3615" w:rsidRPr="00662315" w:rsidRDefault="000B3615" w:rsidP="001A7E9D">
      <w:pPr>
        <w:ind w:hanging="142"/>
        <w:rPr>
          <w:b/>
        </w:rPr>
      </w:pPr>
      <w:r w:rsidRPr="00662315">
        <w:rPr>
          <w:b/>
        </w:rPr>
        <w:t>Liabilities</w:t>
      </w:r>
    </w:p>
    <w:p w14:paraId="61E7CB2A" w14:textId="77777777" w:rsidR="000B3615" w:rsidRPr="00662315" w:rsidRDefault="000B3615" w:rsidP="001A7E9D">
      <w:pPr>
        <w:numPr>
          <w:ilvl w:val="0"/>
          <w:numId w:val="39"/>
        </w:numPr>
        <w:spacing w:before="0" w:after="0"/>
        <w:ind w:hanging="502"/>
      </w:pPr>
      <w:r w:rsidRPr="00662315">
        <w:t>payables $0.21 million</w:t>
      </w:r>
    </w:p>
    <w:p w14:paraId="1469FCFA" w14:textId="77777777" w:rsidR="000B3615" w:rsidRPr="00662315" w:rsidRDefault="000B3615" w:rsidP="001A7E9D">
      <w:pPr>
        <w:numPr>
          <w:ilvl w:val="0"/>
          <w:numId w:val="39"/>
        </w:numPr>
        <w:spacing w:before="0" w:after="0"/>
        <w:ind w:hanging="502"/>
      </w:pPr>
      <w:r w:rsidRPr="00662315">
        <w:t>accrued employee benefits $0.10 million</w:t>
      </w:r>
    </w:p>
    <w:p w14:paraId="411AB9D1" w14:textId="77777777" w:rsidR="000B3615" w:rsidRPr="00662315" w:rsidRDefault="000B3615" w:rsidP="001A7E9D">
      <w:pPr>
        <w:numPr>
          <w:ilvl w:val="0"/>
          <w:numId w:val="39"/>
        </w:numPr>
        <w:spacing w:before="0" w:after="0"/>
        <w:ind w:hanging="502"/>
      </w:pPr>
      <w:r w:rsidRPr="00662315">
        <w:t>deferred lease liability $0.08 million.</w:t>
      </w:r>
    </w:p>
    <w:p w14:paraId="6A053B68" w14:textId="77777777" w:rsidR="000B3615" w:rsidRPr="00662315" w:rsidRDefault="000B3615" w:rsidP="001A7E9D">
      <w:pPr>
        <w:ind w:left="-142"/>
      </w:pPr>
      <w:r w:rsidRPr="00662315">
        <w:t>The deferred lease liability has resulted from the Office of IGEM entering into a long term lease which is located at 1 William Street, Brisbane.</w:t>
      </w:r>
    </w:p>
    <w:p w14:paraId="3F64D1F8" w14:textId="77777777" w:rsidR="000B3615" w:rsidRPr="00662315" w:rsidRDefault="000B3615" w:rsidP="001A7E9D">
      <w:pPr>
        <w:ind w:left="-142"/>
      </w:pPr>
      <w:r w:rsidRPr="00662315">
        <w:t>There were no significant events after balance date that could be expected to impact the operating result for the Office of the IGEM for 2016-17.</w:t>
      </w:r>
    </w:p>
    <w:p w14:paraId="26D7A022" w14:textId="77777777" w:rsidR="006C443A" w:rsidRPr="006C443A" w:rsidRDefault="006C443A" w:rsidP="006C443A"/>
    <w:p w14:paraId="39270A66" w14:textId="77777777" w:rsidR="00405941" w:rsidRPr="006C443A" w:rsidRDefault="00405941" w:rsidP="00091676">
      <w:pPr>
        <w:rPr>
          <w:rFonts w:eastAsia="Calibri"/>
          <w:szCs w:val="22"/>
        </w:rPr>
      </w:pPr>
    </w:p>
    <w:p w14:paraId="29C6C0ED" w14:textId="77777777" w:rsidR="00405941" w:rsidRPr="00341581" w:rsidRDefault="00405941" w:rsidP="00091676">
      <w:r w:rsidRPr="00341581">
        <w:br w:type="page"/>
      </w:r>
    </w:p>
    <w:p w14:paraId="48E3FDB8" w14:textId="77777777" w:rsidR="00405941" w:rsidRPr="00341581" w:rsidRDefault="00405941" w:rsidP="00D77F80">
      <w:pPr>
        <w:pStyle w:val="Heading1"/>
        <w:ind w:left="0" w:right="77"/>
      </w:pPr>
      <w:bookmarkStart w:id="94" w:name="_Toc441671808"/>
      <w:bookmarkStart w:id="95" w:name="_Toc441672096"/>
      <w:bookmarkStart w:id="96" w:name="_Toc442168883"/>
      <w:bookmarkStart w:id="97" w:name="_Toc442339179"/>
      <w:bookmarkStart w:id="98" w:name="_Toc460406678"/>
      <w:bookmarkStart w:id="99" w:name="_Toc460406828"/>
      <w:bookmarkStart w:id="100" w:name="_Toc460406864"/>
      <w:bookmarkStart w:id="101" w:name="_Toc460406943"/>
      <w:bookmarkStart w:id="102" w:name="_Toc460407057"/>
      <w:bookmarkStart w:id="103" w:name="_Toc492622953"/>
      <w:r w:rsidRPr="00341581">
        <w:lastRenderedPageBreak/>
        <w:t>P</w:t>
      </w:r>
      <w:r w:rsidR="00B2375C">
        <w:t>erformance</w:t>
      </w:r>
      <w:bookmarkEnd w:id="94"/>
      <w:bookmarkEnd w:id="95"/>
      <w:bookmarkEnd w:id="96"/>
      <w:bookmarkEnd w:id="97"/>
      <w:bookmarkEnd w:id="98"/>
      <w:bookmarkEnd w:id="99"/>
      <w:bookmarkEnd w:id="100"/>
      <w:bookmarkEnd w:id="101"/>
      <w:bookmarkEnd w:id="102"/>
      <w:bookmarkEnd w:id="103"/>
      <w:r w:rsidRPr="00341581">
        <w:t xml:space="preserve"> </w:t>
      </w:r>
    </w:p>
    <w:p w14:paraId="6D894978" w14:textId="77777777" w:rsidR="00405941" w:rsidRDefault="00405941" w:rsidP="007703EB">
      <w:pPr>
        <w:pStyle w:val="Heading2"/>
      </w:pPr>
      <w:bookmarkStart w:id="104" w:name="_Toc415049800"/>
      <w:bookmarkStart w:id="105" w:name="_Toc415050352"/>
      <w:bookmarkStart w:id="106" w:name="_Toc441671809"/>
      <w:bookmarkStart w:id="107" w:name="_Toc441672097"/>
      <w:bookmarkStart w:id="108" w:name="_Toc442168884"/>
      <w:bookmarkStart w:id="109" w:name="_Toc460406679"/>
      <w:bookmarkStart w:id="110" w:name="_Toc460406829"/>
      <w:bookmarkStart w:id="111" w:name="_Toc460406865"/>
      <w:bookmarkStart w:id="112" w:name="_Toc460406944"/>
      <w:bookmarkStart w:id="113" w:name="_Toc460407058"/>
      <w:bookmarkStart w:id="114" w:name="_Toc492622954"/>
      <w:r w:rsidRPr="00BD394B">
        <w:t>Key performance measures</w:t>
      </w:r>
      <w:bookmarkEnd w:id="104"/>
      <w:bookmarkEnd w:id="105"/>
      <w:bookmarkEnd w:id="106"/>
      <w:bookmarkEnd w:id="107"/>
      <w:bookmarkEnd w:id="108"/>
      <w:bookmarkEnd w:id="109"/>
      <w:bookmarkEnd w:id="110"/>
      <w:bookmarkEnd w:id="111"/>
      <w:bookmarkEnd w:id="112"/>
      <w:bookmarkEnd w:id="113"/>
      <w:bookmarkEnd w:id="114"/>
    </w:p>
    <w:p w14:paraId="5FF68495" w14:textId="77777777" w:rsidR="00F37AA2" w:rsidRDefault="00F37AA2" w:rsidP="001A7E9D">
      <w:pPr>
        <w:widowControl w:val="0"/>
        <w:ind w:left="-142"/>
        <w:rPr>
          <w:rFonts w:eastAsia="Cambria"/>
        </w:rPr>
      </w:pPr>
      <w:bookmarkStart w:id="115" w:name="_Toc441671811"/>
      <w:bookmarkStart w:id="116" w:name="_Toc441672099"/>
      <w:bookmarkStart w:id="117" w:name="_Toc442168886"/>
      <w:bookmarkStart w:id="118" w:name="_Toc460406680"/>
      <w:bookmarkStart w:id="119" w:name="_Toc460406830"/>
      <w:bookmarkStart w:id="120" w:name="_Toc460406866"/>
      <w:bookmarkStart w:id="121" w:name="_Toc460406945"/>
      <w:bookmarkStart w:id="122" w:name="_Toc460407059"/>
      <w:r w:rsidRPr="00515807">
        <w:rPr>
          <w:rFonts w:eastAsia="Cambria"/>
        </w:rPr>
        <w:t xml:space="preserve">The service area ‘Independent Assurance and Advice to Improve Emergency </w:t>
      </w:r>
      <w:r w:rsidRPr="00515807">
        <w:rPr>
          <w:rFonts w:eastAsia="Arial"/>
        </w:rPr>
        <w:t>Management’</w:t>
      </w:r>
      <w:r w:rsidRPr="00515807">
        <w:rPr>
          <w:rFonts w:eastAsia="Cambria"/>
          <w:spacing w:val="-35"/>
        </w:rPr>
        <w:t xml:space="preserve"> </w:t>
      </w:r>
      <w:r w:rsidRPr="00515807">
        <w:rPr>
          <w:rFonts w:eastAsia="Cambria"/>
        </w:rPr>
        <w:t>provides</w:t>
      </w:r>
      <w:r w:rsidRPr="00515807">
        <w:rPr>
          <w:rFonts w:eastAsia="Cambria"/>
          <w:spacing w:val="-1"/>
        </w:rPr>
        <w:t xml:space="preserve"> </w:t>
      </w:r>
      <w:r w:rsidRPr="00515807">
        <w:rPr>
          <w:rFonts w:eastAsia="Cambria"/>
        </w:rPr>
        <w:t>independent assurance and advice that enables confidence in Queensland’s</w:t>
      </w:r>
      <w:r w:rsidRPr="00515807">
        <w:rPr>
          <w:rFonts w:eastAsia="Cambria"/>
          <w:spacing w:val="-12"/>
        </w:rPr>
        <w:t xml:space="preserve"> </w:t>
      </w:r>
      <w:r w:rsidRPr="00515807">
        <w:rPr>
          <w:rFonts w:eastAsia="Cambria"/>
        </w:rPr>
        <w:t>emergency management</w:t>
      </w:r>
      <w:r w:rsidRPr="00515807">
        <w:rPr>
          <w:rFonts w:eastAsia="Cambria"/>
          <w:spacing w:val="-8"/>
        </w:rPr>
        <w:t xml:space="preserve"> </w:t>
      </w:r>
      <w:r w:rsidRPr="00515807">
        <w:rPr>
          <w:rFonts w:eastAsia="Cambria"/>
        </w:rPr>
        <w:t>arrangements</w:t>
      </w:r>
      <w:r>
        <w:rPr>
          <w:rFonts w:eastAsia="Cambria"/>
        </w:rPr>
        <w:t>.</w:t>
      </w:r>
    </w:p>
    <w:p w14:paraId="0F492F3C" w14:textId="77777777" w:rsidR="00F37AA2" w:rsidRPr="00515807" w:rsidRDefault="00F37AA2" w:rsidP="001A7E9D">
      <w:pPr>
        <w:widowControl w:val="0"/>
        <w:ind w:left="-142"/>
        <w:rPr>
          <w:rFonts w:eastAsia="Cambria"/>
        </w:rPr>
      </w:pPr>
      <w:r>
        <w:rPr>
          <w:rFonts w:eastAsia="Cambria"/>
        </w:rPr>
        <w:t>The</w:t>
      </w:r>
      <w:r w:rsidRPr="00515807">
        <w:rPr>
          <w:rFonts w:eastAsia="Cambria"/>
        </w:rPr>
        <w:t xml:space="preserve"> Office of the IGEM provides independent assurance and advice about Queensland's</w:t>
      </w:r>
      <w:r w:rsidRPr="00515807">
        <w:rPr>
          <w:rFonts w:eastAsia="Cambria"/>
          <w:spacing w:val="-36"/>
        </w:rPr>
        <w:t xml:space="preserve"> </w:t>
      </w:r>
      <w:r w:rsidRPr="00515807">
        <w:rPr>
          <w:rFonts w:eastAsia="Arial"/>
        </w:rPr>
        <w:t>emergency</w:t>
      </w:r>
      <w:r w:rsidRPr="00515807">
        <w:rPr>
          <w:rFonts w:eastAsia="Cambria"/>
        </w:rPr>
        <w:t xml:space="preserve"> management arrangements and authoritative reporting to enhance accountability and</w:t>
      </w:r>
      <w:r w:rsidRPr="00515807">
        <w:rPr>
          <w:rFonts w:eastAsia="Cambria"/>
          <w:spacing w:val="-15"/>
        </w:rPr>
        <w:t xml:space="preserve"> </w:t>
      </w:r>
      <w:r w:rsidRPr="00515807">
        <w:rPr>
          <w:rFonts w:eastAsia="Cambria"/>
        </w:rPr>
        <w:t>improve outcomes for the</w:t>
      </w:r>
      <w:r w:rsidRPr="00515807">
        <w:rPr>
          <w:rFonts w:eastAsia="Cambria"/>
          <w:spacing w:val="-10"/>
        </w:rPr>
        <w:t xml:space="preserve"> </w:t>
      </w:r>
      <w:r w:rsidRPr="00515807">
        <w:rPr>
          <w:rFonts w:eastAsia="Cambria"/>
        </w:rPr>
        <w:t>community.</w:t>
      </w:r>
    </w:p>
    <w:p w14:paraId="05A5C1E1" w14:textId="6F4A7021" w:rsidR="00F37AA2" w:rsidRPr="00515807" w:rsidRDefault="00F37AA2" w:rsidP="001A7E9D">
      <w:pPr>
        <w:widowControl w:val="0"/>
        <w:ind w:left="-142"/>
        <w:rPr>
          <w:rFonts w:eastAsia="Cambria"/>
        </w:rPr>
      </w:pPr>
      <w:r w:rsidRPr="00515807">
        <w:rPr>
          <w:rFonts w:eastAsia="Cambria"/>
        </w:rPr>
        <w:t xml:space="preserve">The </w:t>
      </w:r>
      <w:r w:rsidRPr="00515807">
        <w:rPr>
          <w:rFonts w:eastAsia="Arial"/>
        </w:rPr>
        <w:t>Office</w:t>
      </w:r>
      <w:r w:rsidRPr="00515807">
        <w:rPr>
          <w:rFonts w:eastAsia="Cambria"/>
        </w:rPr>
        <w:t xml:space="preserve"> of the IGEM has established the Standard</w:t>
      </w:r>
      <w:r>
        <w:rPr>
          <w:rFonts w:eastAsia="Cambria"/>
        </w:rPr>
        <w:t xml:space="preserve">, </w:t>
      </w:r>
      <w:r w:rsidRPr="00515807">
        <w:rPr>
          <w:rFonts w:eastAsia="Cambria"/>
        </w:rPr>
        <w:t xml:space="preserve">which forms part of the </w:t>
      </w:r>
      <w:r>
        <w:rPr>
          <w:rFonts w:eastAsia="Cambria"/>
        </w:rPr>
        <w:t xml:space="preserve">Framework. The Office of the IGEM </w:t>
      </w:r>
      <w:r w:rsidRPr="00515807">
        <w:rPr>
          <w:rFonts w:eastAsia="Cambria"/>
        </w:rPr>
        <w:t>undertakes</w:t>
      </w:r>
      <w:r w:rsidRPr="00515807">
        <w:rPr>
          <w:rFonts w:eastAsia="Cambria"/>
          <w:spacing w:val="-1"/>
        </w:rPr>
        <w:t xml:space="preserve"> </w:t>
      </w:r>
      <w:r w:rsidRPr="00515807">
        <w:rPr>
          <w:rFonts w:eastAsia="Cambria"/>
        </w:rPr>
        <w:t>targeted reviews and system analysis to identify risks to emergency management</w:t>
      </w:r>
      <w:r w:rsidRPr="00515807">
        <w:rPr>
          <w:rFonts w:eastAsia="Cambria"/>
          <w:spacing w:val="-24"/>
        </w:rPr>
        <w:t xml:space="preserve"> </w:t>
      </w:r>
      <w:r w:rsidRPr="00515807">
        <w:rPr>
          <w:rFonts w:eastAsia="Cambria"/>
        </w:rPr>
        <w:t>planning,</w:t>
      </w:r>
      <w:r w:rsidRPr="00515807">
        <w:rPr>
          <w:rFonts w:eastAsia="Cambria"/>
          <w:spacing w:val="-1"/>
        </w:rPr>
        <w:t xml:space="preserve"> </w:t>
      </w:r>
      <w:r w:rsidRPr="00515807">
        <w:rPr>
          <w:rFonts w:eastAsia="Cambria"/>
        </w:rPr>
        <w:t>preparedness, response and recovery arrangements and recommends</w:t>
      </w:r>
      <w:r w:rsidRPr="00515807">
        <w:rPr>
          <w:rFonts w:eastAsia="Cambria"/>
          <w:spacing w:val="-18"/>
        </w:rPr>
        <w:t xml:space="preserve"> </w:t>
      </w:r>
      <w:r w:rsidRPr="00515807">
        <w:rPr>
          <w:rFonts w:eastAsia="Cambria"/>
        </w:rPr>
        <w:t>evidence-based</w:t>
      </w:r>
      <w:r w:rsidRPr="00515807">
        <w:rPr>
          <w:rFonts w:eastAsia="Cambria"/>
          <w:spacing w:val="-1"/>
        </w:rPr>
        <w:t xml:space="preserve"> </w:t>
      </w:r>
      <w:r w:rsidRPr="00515807">
        <w:rPr>
          <w:rFonts w:eastAsia="Cambria"/>
        </w:rPr>
        <w:t>improvements.</w:t>
      </w:r>
    </w:p>
    <w:p w14:paraId="430B873D" w14:textId="77777777" w:rsidR="00F37AA2" w:rsidRPr="00515807" w:rsidRDefault="00F37AA2" w:rsidP="001A7E9D">
      <w:pPr>
        <w:widowControl w:val="0"/>
        <w:ind w:left="-142"/>
        <w:rPr>
          <w:rFonts w:eastAsia="Cambria"/>
        </w:rPr>
      </w:pPr>
      <w:r w:rsidRPr="00515807">
        <w:rPr>
          <w:rFonts w:eastAsia="Cambria"/>
        </w:rPr>
        <w:t>The table below provides an overview of the key performance measures for the Office of the IGEM for</w:t>
      </w:r>
      <w:r>
        <w:rPr>
          <w:rFonts w:eastAsia="Cambria"/>
        </w:rPr>
        <w:t xml:space="preserve"> </w:t>
      </w:r>
      <w:r w:rsidRPr="00515807">
        <w:rPr>
          <w:rFonts w:eastAsia="Cambria"/>
        </w:rPr>
        <w:t>201</w:t>
      </w:r>
      <w:r>
        <w:rPr>
          <w:rFonts w:eastAsia="Cambria"/>
        </w:rPr>
        <w:t>6</w:t>
      </w:r>
      <w:r w:rsidRPr="00515807">
        <w:rPr>
          <w:rFonts w:eastAsia="Cambria"/>
        </w:rPr>
        <w:t>-1</w:t>
      </w:r>
      <w:r>
        <w:rPr>
          <w:rFonts w:eastAsia="Cambria"/>
        </w:rPr>
        <w:t>7</w:t>
      </w:r>
      <w:r w:rsidRPr="00515807">
        <w:rPr>
          <w:rFonts w:eastAsia="Cambria"/>
        </w:rPr>
        <w:t>.</w:t>
      </w:r>
    </w:p>
    <w:tbl>
      <w:tblPr>
        <w:tblW w:w="10206" w:type="dxa"/>
        <w:tblInd w:w="-14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1E0" w:firstRow="1" w:lastRow="1" w:firstColumn="1" w:lastColumn="1" w:noHBand="0" w:noVBand="0"/>
      </w:tblPr>
      <w:tblGrid>
        <w:gridCol w:w="3544"/>
        <w:gridCol w:w="851"/>
        <w:gridCol w:w="1275"/>
        <w:gridCol w:w="993"/>
        <w:gridCol w:w="1133"/>
        <w:gridCol w:w="1276"/>
        <w:gridCol w:w="1134"/>
      </w:tblGrid>
      <w:tr w:rsidR="00F37AA2" w:rsidRPr="00515807" w14:paraId="17E8BA7B" w14:textId="77777777" w:rsidTr="001A7E9D">
        <w:trPr>
          <w:trHeight w:hRule="exact" w:val="500"/>
        </w:trPr>
        <w:tc>
          <w:tcPr>
            <w:tcW w:w="10206" w:type="dxa"/>
            <w:gridSpan w:val="7"/>
            <w:shd w:val="clear" w:color="auto" w:fill="AB054C"/>
          </w:tcPr>
          <w:p w14:paraId="2C501956" w14:textId="155A23FB" w:rsidR="00F37AA2" w:rsidRPr="00515807" w:rsidRDefault="00972FBE" w:rsidP="00972FBE">
            <w:pPr>
              <w:widowControl w:val="0"/>
              <w:spacing w:line="248" w:lineRule="exact"/>
              <w:rPr>
                <w:rFonts w:eastAsia="Calibri" w:hAnsi="Calibri" w:cs="Times New Roman"/>
                <w:b/>
                <w:color w:val="FFFFFF"/>
              </w:rPr>
            </w:pPr>
            <w:r>
              <w:rPr>
                <w:rFonts w:eastAsia="Calibri" w:hAnsi="Calibri" w:cs="Times New Roman"/>
                <w:b/>
                <w:color w:val="FFFFFF"/>
              </w:rPr>
              <w:t xml:space="preserve">  </w:t>
            </w:r>
            <w:r w:rsidR="00F37AA2" w:rsidRPr="00515807">
              <w:rPr>
                <w:rFonts w:eastAsia="Calibri" w:hAnsi="Calibri" w:cs="Times New Roman"/>
                <w:b/>
                <w:color w:val="FFFFFF"/>
              </w:rPr>
              <w:t>Service Area: Independent Assurance and Advice to Improve Emergency Management</w:t>
            </w:r>
          </w:p>
        </w:tc>
      </w:tr>
      <w:tr w:rsidR="00F37AA2" w:rsidRPr="00515807" w14:paraId="0FA39E15" w14:textId="77777777" w:rsidTr="001A7E9D">
        <w:trPr>
          <w:trHeight w:hRule="exact" w:val="1070"/>
        </w:trPr>
        <w:tc>
          <w:tcPr>
            <w:tcW w:w="3544" w:type="dxa"/>
            <w:shd w:val="clear" w:color="auto" w:fill="AB054C"/>
          </w:tcPr>
          <w:p w14:paraId="5646CA0A" w14:textId="77777777" w:rsidR="00F37AA2" w:rsidRPr="00515807" w:rsidRDefault="00F37AA2" w:rsidP="00D4140B">
            <w:pPr>
              <w:widowControl w:val="0"/>
              <w:spacing w:after="0" w:line="248" w:lineRule="exact"/>
              <w:ind w:left="103"/>
              <w:rPr>
                <w:rFonts w:eastAsia="Arial"/>
                <w:color w:val="FFFFFF"/>
              </w:rPr>
            </w:pPr>
            <w:r w:rsidRPr="00515807">
              <w:rPr>
                <w:rFonts w:eastAsia="Calibri" w:hAnsi="Calibri" w:cs="Times New Roman"/>
                <w:b/>
                <w:color w:val="FFFFFF"/>
              </w:rPr>
              <w:t>Service standards</w:t>
            </w:r>
          </w:p>
        </w:tc>
        <w:tc>
          <w:tcPr>
            <w:tcW w:w="851" w:type="dxa"/>
            <w:shd w:val="clear" w:color="auto" w:fill="AB054C"/>
          </w:tcPr>
          <w:p w14:paraId="74C1B4CD" w14:textId="77777777" w:rsidR="00F37AA2" w:rsidRPr="00515807" w:rsidRDefault="00F37AA2" w:rsidP="00D4140B">
            <w:pPr>
              <w:widowControl w:val="0"/>
              <w:spacing w:after="0" w:line="248" w:lineRule="exact"/>
              <w:ind w:left="103"/>
              <w:rPr>
                <w:rFonts w:eastAsia="Arial"/>
                <w:color w:val="FFFFFF"/>
              </w:rPr>
            </w:pPr>
            <w:r w:rsidRPr="00515807">
              <w:rPr>
                <w:rFonts w:eastAsia="Calibri" w:hAnsi="Calibri" w:cs="Times New Roman"/>
                <w:b/>
                <w:color w:val="FFFFFF"/>
              </w:rPr>
              <w:t>Notes</w:t>
            </w:r>
          </w:p>
        </w:tc>
        <w:tc>
          <w:tcPr>
            <w:tcW w:w="1275" w:type="dxa"/>
            <w:shd w:val="clear" w:color="auto" w:fill="AB054C"/>
          </w:tcPr>
          <w:p w14:paraId="46420E24" w14:textId="77777777" w:rsidR="00F37AA2" w:rsidRPr="00515807" w:rsidRDefault="00F37AA2" w:rsidP="00D4140B">
            <w:pPr>
              <w:widowControl w:val="0"/>
              <w:spacing w:after="0" w:line="247" w:lineRule="auto"/>
              <w:ind w:left="359" w:right="120" w:hanging="238"/>
              <w:jc w:val="center"/>
              <w:rPr>
                <w:rFonts w:eastAsia="Calibri" w:hAnsi="Calibri" w:cs="Times New Roman"/>
                <w:b/>
                <w:color w:val="FFFFFF"/>
              </w:rPr>
            </w:pPr>
            <w:r w:rsidRPr="00515807">
              <w:rPr>
                <w:rFonts w:eastAsia="Calibri" w:hAnsi="Calibri" w:cs="Times New Roman"/>
                <w:b/>
                <w:color w:val="FFFFFF"/>
              </w:rPr>
              <w:t>Strategic</w:t>
            </w:r>
          </w:p>
          <w:p w14:paraId="6F2543AE" w14:textId="77777777" w:rsidR="00F37AA2" w:rsidRPr="00515807" w:rsidRDefault="00F37AA2" w:rsidP="00D4140B">
            <w:pPr>
              <w:widowControl w:val="0"/>
              <w:spacing w:after="0" w:line="247" w:lineRule="auto"/>
              <w:ind w:left="359" w:right="120" w:hanging="238"/>
              <w:jc w:val="center"/>
              <w:rPr>
                <w:rFonts w:eastAsia="Arial"/>
                <w:color w:val="FFFFFF"/>
              </w:rPr>
            </w:pPr>
            <w:r w:rsidRPr="00515807">
              <w:rPr>
                <w:rFonts w:eastAsia="Calibri" w:hAnsi="Calibri" w:cs="Times New Roman"/>
                <w:b/>
                <w:color w:val="FFFFFF"/>
              </w:rPr>
              <w:t>Plan</w:t>
            </w:r>
          </w:p>
        </w:tc>
        <w:tc>
          <w:tcPr>
            <w:tcW w:w="993" w:type="dxa"/>
            <w:shd w:val="clear" w:color="auto" w:fill="AB054C"/>
          </w:tcPr>
          <w:p w14:paraId="03A26ACB" w14:textId="77777777" w:rsidR="00F37AA2" w:rsidRPr="00515807" w:rsidRDefault="00F37AA2" w:rsidP="00D4140B">
            <w:pPr>
              <w:widowControl w:val="0"/>
              <w:spacing w:after="0"/>
              <w:jc w:val="center"/>
              <w:rPr>
                <w:rFonts w:eastAsia="Arial"/>
                <w:color w:val="FFFFFF"/>
              </w:rPr>
            </w:pPr>
            <w:r w:rsidRPr="00515807">
              <w:rPr>
                <w:rFonts w:eastAsia="Calibri" w:hAnsi="Calibri" w:cs="Times New Roman"/>
                <w:b/>
                <w:color w:val="FFFFFF"/>
              </w:rPr>
              <w:t>201</w:t>
            </w:r>
            <w:r>
              <w:rPr>
                <w:rFonts w:eastAsia="Calibri" w:hAnsi="Calibri" w:cs="Times New Roman"/>
                <w:b/>
                <w:color w:val="FFFFFF"/>
              </w:rPr>
              <w:t>6</w:t>
            </w:r>
            <w:r w:rsidRPr="00515807">
              <w:rPr>
                <w:rFonts w:eastAsia="Calibri" w:hAnsi="Calibri" w:cs="Times New Roman"/>
                <w:b/>
                <w:color w:val="FFFFFF"/>
              </w:rPr>
              <w:t>-1</w:t>
            </w:r>
            <w:r>
              <w:rPr>
                <w:rFonts w:eastAsia="Calibri" w:hAnsi="Calibri" w:cs="Times New Roman"/>
                <w:b/>
                <w:color w:val="FFFFFF"/>
              </w:rPr>
              <w:t>7</w:t>
            </w:r>
          </w:p>
          <w:p w14:paraId="08E79589" w14:textId="77777777" w:rsidR="00F37AA2" w:rsidRPr="00515807" w:rsidRDefault="00F37AA2" w:rsidP="00D4140B">
            <w:pPr>
              <w:widowControl w:val="0"/>
              <w:spacing w:after="0"/>
              <w:jc w:val="center"/>
              <w:rPr>
                <w:rFonts w:eastAsia="Arial"/>
                <w:color w:val="FFFFFF"/>
              </w:rPr>
            </w:pPr>
            <w:r w:rsidRPr="00515807">
              <w:rPr>
                <w:rFonts w:eastAsia="Calibri" w:hAnsi="Calibri" w:cs="Times New Roman"/>
                <w:b/>
                <w:color w:val="FFFFFF"/>
              </w:rPr>
              <w:t>SDS</w:t>
            </w:r>
          </w:p>
        </w:tc>
        <w:tc>
          <w:tcPr>
            <w:tcW w:w="1133" w:type="dxa"/>
            <w:shd w:val="clear" w:color="auto" w:fill="AB054C"/>
          </w:tcPr>
          <w:p w14:paraId="37606D8E" w14:textId="77777777" w:rsidR="00F37AA2" w:rsidRPr="00515807" w:rsidRDefault="00F37AA2" w:rsidP="00972FBE">
            <w:pPr>
              <w:widowControl w:val="0"/>
              <w:spacing w:after="0" w:line="248" w:lineRule="exact"/>
              <w:jc w:val="center"/>
              <w:rPr>
                <w:rFonts w:eastAsia="Arial"/>
                <w:color w:val="FFFFFF"/>
              </w:rPr>
            </w:pPr>
            <w:r w:rsidRPr="00515807">
              <w:rPr>
                <w:rFonts w:eastAsia="Calibri" w:hAnsi="Calibri" w:cs="Times New Roman"/>
                <w:b/>
                <w:color w:val="FFFFFF"/>
              </w:rPr>
              <w:t>201</w:t>
            </w:r>
            <w:r>
              <w:rPr>
                <w:rFonts w:eastAsia="Calibri" w:hAnsi="Calibri" w:cs="Times New Roman"/>
                <w:b/>
                <w:color w:val="FFFFFF"/>
              </w:rPr>
              <w:t>5</w:t>
            </w:r>
            <w:r w:rsidRPr="00515807">
              <w:rPr>
                <w:rFonts w:eastAsia="Calibri" w:hAnsi="Calibri" w:cs="Times New Roman"/>
                <w:b/>
                <w:color w:val="FFFFFF"/>
              </w:rPr>
              <w:t>-1</w:t>
            </w:r>
            <w:r>
              <w:rPr>
                <w:rFonts w:eastAsia="Calibri" w:hAnsi="Calibri" w:cs="Times New Roman"/>
                <w:b/>
                <w:color w:val="FFFFFF"/>
              </w:rPr>
              <w:t>6</w:t>
            </w:r>
          </w:p>
          <w:p w14:paraId="0957B0B0" w14:textId="77777777" w:rsidR="00F37AA2" w:rsidRPr="00515807" w:rsidRDefault="00F37AA2" w:rsidP="00972FBE">
            <w:pPr>
              <w:widowControl w:val="0"/>
              <w:spacing w:after="0" w:line="248" w:lineRule="exact"/>
              <w:jc w:val="center"/>
              <w:rPr>
                <w:rFonts w:eastAsia="Calibri" w:hAnsi="Calibri" w:cs="Times New Roman"/>
                <w:b/>
                <w:color w:val="FFFFFF"/>
              </w:rPr>
            </w:pPr>
            <w:r w:rsidRPr="00515807">
              <w:rPr>
                <w:rFonts w:eastAsia="Calibri" w:hAnsi="Calibri" w:cs="Times New Roman"/>
                <w:b/>
                <w:color w:val="FFFFFF"/>
              </w:rPr>
              <w:t>Actual</w:t>
            </w:r>
          </w:p>
        </w:tc>
        <w:tc>
          <w:tcPr>
            <w:tcW w:w="1276" w:type="dxa"/>
            <w:shd w:val="clear" w:color="auto" w:fill="AB054C"/>
          </w:tcPr>
          <w:p w14:paraId="28E99FAC" w14:textId="71FD0E1F" w:rsidR="00F37AA2" w:rsidRPr="00515807" w:rsidRDefault="00F37AA2" w:rsidP="00972FBE">
            <w:pPr>
              <w:widowControl w:val="0"/>
              <w:spacing w:after="0"/>
              <w:jc w:val="center"/>
              <w:rPr>
                <w:rFonts w:eastAsia="Arial"/>
                <w:color w:val="FFFFFF"/>
              </w:rPr>
            </w:pPr>
            <w:r w:rsidRPr="00515807">
              <w:rPr>
                <w:rFonts w:eastAsia="Calibri" w:hAnsi="Calibri" w:cs="Times New Roman"/>
                <w:b/>
                <w:color w:val="FFFFFF"/>
              </w:rPr>
              <w:t>201</w:t>
            </w:r>
            <w:r>
              <w:rPr>
                <w:rFonts w:eastAsia="Calibri" w:hAnsi="Calibri" w:cs="Times New Roman"/>
                <w:b/>
                <w:color w:val="FFFFFF"/>
              </w:rPr>
              <w:t>6</w:t>
            </w:r>
            <w:r w:rsidRPr="00515807">
              <w:rPr>
                <w:rFonts w:eastAsia="Calibri" w:hAnsi="Calibri" w:cs="Times New Roman"/>
                <w:b/>
                <w:color w:val="FFFFFF"/>
              </w:rPr>
              <w:t>-1</w:t>
            </w:r>
            <w:r>
              <w:rPr>
                <w:rFonts w:eastAsia="Calibri" w:hAnsi="Calibri" w:cs="Times New Roman"/>
                <w:b/>
                <w:color w:val="FFFFFF"/>
              </w:rPr>
              <w:t>7</w:t>
            </w:r>
            <w:r w:rsidR="00972FBE">
              <w:rPr>
                <w:rFonts w:eastAsia="Arial"/>
                <w:color w:val="FFFFFF"/>
              </w:rPr>
              <w:t xml:space="preserve"> </w:t>
            </w:r>
            <w:r w:rsidRPr="00515807">
              <w:rPr>
                <w:rFonts w:eastAsia="Calibri" w:hAnsi="Calibri" w:cs="Times New Roman"/>
                <w:b/>
                <w:color w:val="FFFFFF"/>
              </w:rPr>
              <w:t>Target/ Estimate</w:t>
            </w:r>
          </w:p>
        </w:tc>
        <w:tc>
          <w:tcPr>
            <w:tcW w:w="1134" w:type="dxa"/>
            <w:shd w:val="clear" w:color="auto" w:fill="AB054C"/>
          </w:tcPr>
          <w:p w14:paraId="259F4D5F" w14:textId="77777777" w:rsidR="00F37AA2" w:rsidRPr="00515807" w:rsidRDefault="00F37AA2" w:rsidP="00972FBE">
            <w:pPr>
              <w:widowControl w:val="0"/>
              <w:spacing w:after="0"/>
              <w:jc w:val="center"/>
              <w:rPr>
                <w:rFonts w:eastAsia="Arial"/>
                <w:b/>
                <w:color w:val="FFFFFF"/>
              </w:rPr>
            </w:pPr>
            <w:r w:rsidRPr="00515807">
              <w:rPr>
                <w:rFonts w:eastAsia="Arial"/>
                <w:b/>
                <w:color w:val="FFFFFF"/>
              </w:rPr>
              <w:t>201</w:t>
            </w:r>
            <w:r>
              <w:rPr>
                <w:rFonts w:eastAsia="Arial"/>
                <w:b/>
                <w:color w:val="FFFFFF"/>
              </w:rPr>
              <w:t>6</w:t>
            </w:r>
            <w:r w:rsidRPr="00515807">
              <w:rPr>
                <w:rFonts w:eastAsia="Arial"/>
                <w:b/>
                <w:color w:val="FFFFFF"/>
              </w:rPr>
              <w:t>-1</w:t>
            </w:r>
            <w:r>
              <w:rPr>
                <w:rFonts w:eastAsia="Arial"/>
                <w:b/>
                <w:color w:val="FFFFFF"/>
              </w:rPr>
              <w:t>7</w:t>
            </w:r>
          </w:p>
          <w:p w14:paraId="6B67FEB7" w14:textId="77777777" w:rsidR="00F37AA2" w:rsidRPr="00515807" w:rsidRDefault="00F37AA2" w:rsidP="00972FBE">
            <w:pPr>
              <w:widowControl w:val="0"/>
              <w:spacing w:after="0"/>
              <w:jc w:val="center"/>
              <w:rPr>
                <w:rFonts w:eastAsia="Arial"/>
                <w:b/>
                <w:color w:val="FFFFFF"/>
              </w:rPr>
            </w:pPr>
            <w:r w:rsidRPr="00515807">
              <w:rPr>
                <w:rFonts w:eastAsia="Arial"/>
                <w:b/>
                <w:color w:val="FFFFFF"/>
              </w:rPr>
              <w:t>Actual</w:t>
            </w:r>
          </w:p>
        </w:tc>
      </w:tr>
      <w:tr w:rsidR="00F37AA2" w:rsidRPr="00515807" w14:paraId="06CDF215" w14:textId="77777777" w:rsidTr="001A7E9D">
        <w:trPr>
          <w:trHeight w:hRule="exact" w:val="546"/>
        </w:trPr>
        <w:tc>
          <w:tcPr>
            <w:tcW w:w="3544" w:type="dxa"/>
          </w:tcPr>
          <w:p w14:paraId="7E106A50" w14:textId="77777777" w:rsidR="00F37AA2" w:rsidRDefault="00F37AA2" w:rsidP="00D4140B">
            <w:pPr>
              <w:widowControl w:val="0"/>
              <w:spacing w:line="251" w:lineRule="exact"/>
              <w:ind w:left="103"/>
              <w:rPr>
                <w:rFonts w:eastAsia="Calibri" w:hAnsi="Calibri" w:cs="Times New Roman"/>
              </w:rPr>
            </w:pPr>
            <w:r w:rsidRPr="00515807">
              <w:rPr>
                <w:rFonts w:eastAsia="Calibri" w:hAnsi="Calibri" w:cs="Times New Roman"/>
              </w:rPr>
              <w:t>Customer</w:t>
            </w:r>
            <w:r w:rsidRPr="00515807">
              <w:rPr>
                <w:rFonts w:eastAsia="Calibri" w:hAnsi="Calibri" w:cs="Times New Roman"/>
                <w:spacing w:val="-7"/>
              </w:rPr>
              <w:t xml:space="preserve"> </w:t>
            </w:r>
            <w:r w:rsidRPr="00515807">
              <w:rPr>
                <w:rFonts w:eastAsia="Calibri" w:hAnsi="Calibri" w:cs="Times New Roman"/>
              </w:rPr>
              <w:t>satisfaction</w:t>
            </w:r>
          </w:p>
          <w:p w14:paraId="56CB7034" w14:textId="77777777" w:rsidR="00EB4B72" w:rsidRDefault="00EB4B72" w:rsidP="00D4140B">
            <w:pPr>
              <w:widowControl w:val="0"/>
              <w:spacing w:line="251" w:lineRule="exact"/>
              <w:ind w:left="103"/>
              <w:rPr>
                <w:rFonts w:eastAsia="Calibri" w:hAnsi="Calibri" w:cs="Times New Roman"/>
              </w:rPr>
            </w:pPr>
          </w:p>
          <w:p w14:paraId="12F438D0" w14:textId="77777777" w:rsidR="00EB4B72" w:rsidRPr="00515807" w:rsidRDefault="00EB4B72" w:rsidP="00D4140B">
            <w:pPr>
              <w:widowControl w:val="0"/>
              <w:spacing w:line="251" w:lineRule="exact"/>
              <w:ind w:left="103"/>
              <w:rPr>
                <w:rFonts w:eastAsia="Arial"/>
              </w:rPr>
            </w:pPr>
          </w:p>
        </w:tc>
        <w:tc>
          <w:tcPr>
            <w:tcW w:w="851" w:type="dxa"/>
          </w:tcPr>
          <w:p w14:paraId="3E344B58" w14:textId="77777777" w:rsidR="00F37AA2" w:rsidRPr="00515807" w:rsidRDefault="00F37AA2" w:rsidP="00D4140B">
            <w:pPr>
              <w:widowControl w:val="0"/>
              <w:spacing w:line="251" w:lineRule="exact"/>
              <w:ind w:left="103"/>
              <w:jc w:val="center"/>
              <w:rPr>
                <w:rFonts w:eastAsia="Arial"/>
              </w:rPr>
            </w:pPr>
            <w:r w:rsidRPr="00515807">
              <w:rPr>
                <w:rFonts w:eastAsia="Calibri" w:hAnsi="Calibri" w:cs="Times New Roman"/>
              </w:rPr>
              <w:t>1</w:t>
            </w:r>
          </w:p>
        </w:tc>
        <w:tc>
          <w:tcPr>
            <w:tcW w:w="1275" w:type="dxa"/>
          </w:tcPr>
          <w:p w14:paraId="773B4941" w14:textId="77777777" w:rsidR="00F37AA2" w:rsidRPr="00515807" w:rsidRDefault="00F37AA2" w:rsidP="00D4140B">
            <w:pPr>
              <w:widowControl w:val="0"/>
              <w:spacing w:line="243" w:lineRule="exact"/>
              <w:ind w:right="1"/>
              <w:jc w:val="center"/>
              <w:rPr>
                <w:rFonts w:ascii="Wingdings" w:eastAsia="Wingdings" w:hAnsi="Wingdings" w:cs="Wingdings"/>
              </w:rPr>
            </w:pPr>
            <w:r w:rsidRPr="00515807">
              <w:rPr>
                <w:rFonts w:ascii="Wingdings" w:eastAsia="Wingdings" w:hAnsi="Wingdings" w:cs="Wingdings"/>
              </w:rPr>
              <w:t></w:t>
            </w:r>
          </w:p>
        </w:tc>
        <w:tc>
          <w:tcPr>
            <w:tcW w:w="993" w:type="dxa"/>
          </w:tcPr>
          <w:p w14:paraId="38763E19" w14:textId="77777777" w:rsidR="00F37AA2" w:rsidRPr="00515807" w:rsidRDefault="00F37AA2" w:rsidP="00D4140B">
            <w:pPr>
              <w:widowControl w:val="0"/>
              <w:spacing w:line="243" w:lineRule="exact"/>
              <w:ind w:right="1"/>
              <w:jc w:val="center"/>
              <w:rPr>
                <w:rFonts w:ascii="Wingdings" w:eastAsia="Wingdings" w:hAnsi="Wingdings" w:cs="Wingdings"/>
              </w:rPr>
            </w:pPr>
            <w:r w:rsidRPr="00515807">
              <w:rPr>
                <w:rFonts w:ascii="Wingdings" w:eastAsia="Wingdings" w:hAnsi="Wingdings" w:cs="Wingdings"/>
              </w:rPr>
              <w:t></w:t>
            </w:r>
          </w:p>
        </w:tc>
        <w:tc>
          <w:tcPr>
            <w:tcW w:w="1133" w:type="dxa"/>
            <w:shd w:val="clear" w:color="auto" w:fill="auto"/>
          </w:tcPr>
          <w:p w14:paraId="2B3905BF" w14:textId="77777777" w:rsidR="00F37AA2" w:rsidRPr="00515807" w:rsidRDefault="00F37AA2" w:rsidP="00D4140B">
            <w:pPr>
              <w:widowControl w:val="0"/>
              <w:spacing w:line="251" w:lineRule="exact"/>
              <w:ind w:left="6"/>
              <w:jc w:val="center"/>
              <w:rPr>
                <w:rFonts w:eastAsia="Calibri" w:hAnsi="Calibri" w:cs="Times New Roman"/>
              </w:rPr>
            </w:pPr>
            <w:r>
              <w:rPr>
                <w:rFonts w:eastAsia="Calibri" w:hAnsi="Calibri" w:cs="Times New Roman"/>
              </w:rPr>
              <w:t>83%</w:t>
            </w:r>
          </w:p>
        </w:tc>
        <w:tc>
          <w:tcPr>
            <w:tcW w:w="1276" w:type="dxa"/>
            <w:shd w:val="clear" w:color="auto" w:fill="FEDADD"/>
          </w:tcPr>
          <w:p w14:paraId="459E40DC" w14:textId="77777777" w:rsidR="00F37AA2" w:rsidRPr="00515807" w:rsidRDefault="00F37AA2" w:rsidP="00D4140B">
            <w:pPr>
              <w:widowControl w:val="0"/>
              <w:ind w:right="-22"/>
              <w:jc w:val="center"/>
              <w:rPr>
                <w:rFonts w:eastAsia="Arial"/>
              </w:rPr>
            </w:pPr>
            <w:r w:rsidRPr="00515807">
              <w:rPr>
                <w:rFonts w:eastAsia="Arial"/>
              </w:rPr>
              <w:t>80%</w:t>
            </w:r>
          </w:p>
        </w:tc>
        <w:tc>
          <w:tcPr>
            <w:tcW w:w="1134" w:type="dxa"/>
            <w:shd w:val="clear" w:color="auto" w:fill="FEDADD"/>
          </w:tcPr>
          <w:p w14:paraId="632B14E8" w14:textId="77777777" w:rsidR="00F37AA2" w:rsidRPr="00515807" w:rsidRDefault="00F37AA2" w:rsidP="00D4140B">
            <w:pPr>
              <w:widowControl w:val="0"/>
              <w:spacing w:line="251" w:lineRule="exact"/>
              <w:ind w:left="319"/>
              <w:rPr>
                <w:rFonts w:eastAsia="Arial"/>
              </w:rPr>
            </w:pPr>
            <w:r>
              <w:rPr>
                <w:rFonts w:eastAsia="Arial"/>
              </w:rPr>
              <w:t>87%</w:t>
            </w:r>
          </w:p>
        </w:tc>
      </w:tr>
      <w:tr w:rsidR="00F37AA2" w:rsidRPr="00515807" w14:paraId="0F6254DC" w14:textId="77777777" w:rsidTr="001A7E9D">
        <w:trPr>
          <w:trHeight w:hRule="exact" w:val="993"/>
        </w:trPr>
        <w:tc>
          <w:tcPr>
            <w:tcW w:w="3544" w:type="dxa"/>
          </w:tcPr>
          <w:p w14:paraId="25CCD564" w14:textId="77777777" w:rsidR="00F37AA2" w:rsidRPr="00515807" w:rsidRDefault="00F37AA2" w:rsidP="00D4140B">
            <w:pPr>
              <w:widowControl w:val="0"/>
              <w:ind w:left="103" w:right="331"/>
              <w:rPr>
                <w:rFonts w:eastAsia="Arial"/>
              </w:rPr>
            </w:pPr>
            <w:r w:rsidRPr="00515807">
              <w:rPr>
                <w:rFonts w:eastAsia="Calibri" w:hAnsi="Calibri" w:cs="Times New Roman"/>
              </w:rPr>
              <w:t>Proportion of recommendations agreed</w:t>
            </w:r>
            <w:r w:rsidRPr="00515807">
              <w:rPr>
                <w:rFonts w:eastAsia="Calibri" w:hAnsi="Calibri" w:cs="Times New Roman"/>
                <w:spacing w:val="-13"/>
              </w:rPr>
              <w:t xml:space="preserve"> </w:t>
            </w:r>
            <w:r w:rsidRPr="00515807">
              <w:rPr>
                <w:rFonts w:eastAsia="Calibri" w:hAnsi="Calibri" w:cs="Times New Roman"/>
              </w:rPr>
              <w:t>to by entities to which the</w:t>
            </w:r>
            <w:r w:rsidRPr="00515807">
              <w:rPr>
                <w:rFonts w:eastAsia="Calibri" w:hAnsi="Calibri" w:cs="Times New Roman"/>
                <w:spacing w:val="-13"/>
              </w:rPr>
              <w:t xml:space="preserve"> </w:t>
            </w:r>
            <w:r w:rsidRPr="00515807">
              <w:rPr>
                <w:rFonts w:eastAsia="Calibri" w:hAnsi="Calibri" w:cs="Times New Roman"/>
              </w:rPr>
              <w:t>recommendations</w:t>
            </w:r>
            <w:r w:rsidRPr="00515807">
              <w:rPr>
                <w:rFonts w:eastAsia="Calibri" w:hAnsi="Calibri" w:cs="Times New Roman"/>
                <w:spacing w:val="-1"/>
              </w:rPr>
              <w:t xml:space="preserve"> </w:t>
            </w:r>
            <w:r w:rsidRPr="00515807">
              <w:rPr>
                <w:rFonts w:eastAsia="Calibri" w:hAnsi="Calibri" w:cs="Times New Roman"/>
              </w:rPr>
              <w:t>apply</w:t>
            </w:r>
          </w:p>
        </w:tc>
        <w:tc>
          <w:tcPr>
            <w:tcW w:w="851" w:type="dxa"/>
          </w:tcPr>
          <w:p w14:paraId="3E2314ED" w14:textId="77777777" w:rsidR="00F37AA2" w:rsidRPr="00515807" w:rsidRDefault="00F37AA2" w:rsidP="00D4140B">
            <w:pPr>
              <w:widowControl w:val="0"/>
              <w:spacing w:line="251" w:lineRule="exact"/>
              <w:ind w:left="103"/>
              <w:jc w:val="center"/>
              <w:rPr>
                <w:rFonts w:eastAsia="Arial"/>
              </w:rPr>
            </w:pPr>
            <w:r w:rsidRPr="00515807">
              <w:rPr>
                <w:rFonts w:eastAsia="Calibri" w:hAnsi="Calibri" w:cs="Times New Roman"/>
              </w:rPr>
              <w:t>2</w:t>
            </w:r>
          </w:p>
        </w:tc>
        <w:tc>
          <w:tcPr>
            <w:tcW w:w="1275" w:type="dxa"/>
          </w:tcPr>
          <w:p w14:paraId="62E69965" w14:textId="77777777" w:rsidR="00F37AA2" w:rsidRPr="00515807" w:rsidRDefault="00F37AA2" w:rsidP="00D4140B">
            <w:pPr>
              <w:widowControl w:val="0"/>
              <w:spacing w:line="243" w:lineRule="exact"/>
              <w:ind w:right="1"/>
              <w:jc w:val="center"/>
              <w:rPr>
                <w:rFonts w:ascii="Wingdings" w:eastAsia="Wingdings" w:hAnsi="Wingdings" w:cs="Wingdings"/>
              </w:rPr>
            </w:pPr>
            <w:r w:rsidRPr="00515807">
              <w:rPr>
                <w:rFonts w:ascii="Wingdings" w:eastAsia="Wingdings" w:hAnsi="Wingdings" w:cs="Wingdings"/>
              </w:rPr>
              <w:t></w:t>
            </w:r>
          </w:p>
        </w:tc>
        <w:tc>
          <w:tcPr>
            <w:tcW w:w="993" w:type="dxa"/>
          </w:tcPr>
          <w:p w14:paraId="4397949A" w14:textId="77777777" w:rsidR="00F37AA2" w:rsidRPr="00515807" w:rsidRDefault="00F37AA2" w:rsidP="00D4140B">
            <w:pPr>
              <w:widowControl w:val="0"/>
              <w:spacing w:line="243" w:lineRule="exact"/>
              <w:ind w:right="1"/>
              <w:jc w:val="center"/>
              <w:rPr>
                <w:rFonts w:ascii="Wingdings" w:eastAsia="Wingdings" w:hAnsi="Wingdings" w:cs="Wingdings"/>
              </w:rPr>
            </w:pPr>
            <w:r w:rsidRPr="00515807">
              <w:rPr>
                <w:rFonts w:ascii="Wingdings" w:eastAsia="Wingdings" w:hAnsi="Wingdings" w:cs="Wingdings"/>
              </w:rPr>
              <w:t></w:t>
            </w:r>
          </w:p>
        </w:tc>
        <w:tc>
          <w:tcPr>
            <w:tcW w:w="1133" w:type="dxa"/>
            <w:shd w:val="clear" w:color="auto" w:fill="auto"/>
          </w:tcPr>
          <w:p w14:paraId="292CBAC7" w14:textId="77777777" w:rsidR="00F37AA2" w:rsidRPr="00515807" w:rsidRDefault="00F37AA2" w:rsidP="00D4140B">
            <w:pPr>
              <w:widowControl w:val="0"/>
              <w:spacing w:line="251" w:lineRule="exact"/>
              <w:ind w:left="6"/>
              <w:jc w:val="center"/>
              <w:rPr>
                <w:rFonts w:eastAsia="Calibri" w:hAnsi="Calibri" w:cs="Times New Roman"/>
              </w:rPr>
            </w:pPr>
            <w:r>
              <w:rPr>
                <w:rFonts w:eastAsia="Calibri" w:hAnsi="Calibri" w:cs="Times New Roman"/>
              </w:rPr>
              <w:t>100%</w:t>
            </w:r>
          </w:p>
        </w:tc>
        <w:tc>
          <w:tcPr>
            <w:tcW w:w="1276" w:type="dxa"/>
            <w:shd w:val="clear" w:color="auto" w:fill="FEDADD"/>
          </w:tcPr>
          <w:p w14:paraId="34062E2C" w14:textId="77777777" w:rsidR="00F37AA2" w:rsidRPr="00515807" w:rsidRDefault="00F37AA2" w:rsidP="00D4140B">
            <w:pPr>
              <w:widowControl w:val="0"/>
              <w:spacing w:line="251" w:lineRule="exact"/>
              <w:ind w:left="6"/>
              <w:jc w:val="center"/>
              <w:rPr>
                <w:rFonts w:eastAsia="Arial"/>
              </w:rPr>
            </w:pPr>
            <w:r w:rsidRPr="00515807">
              <w:rPr>
                <w:rFonts w:eastAsia="Calibri" w:hAnsi="Calibri" w:cs="Times New Roman"/>
              </w:rPr>
              <w:t>80%</w:t>
            </w:r>
          </w:p>
        </w:tc>
        <w:tc>
          <w:tcPr>
            <w:tcW w:w="1134" w:type="dxa"/>
            <w:shd w:val="clear" w:color="auto" w:fill="FEDADD"/>
          </w:tcPr>
          <w:p w14:paraId="6C262B91" w14:textId="77777777" w:rsidR="00F37AA2" w:rsidRPr="00515807" w:rsidRDefault="00F37AA2" w:rsidP="00D4140B">
            <w:pPr>
              <w:widowControl w:val="0"/>
              <w:spacing w:line="251" w:lineRule="exact"/>
              <w:ind w:left="319"/>
              <w:rPr>
                <w:rFonts w:eastAsia="Arial"/>
              </w:rPr>
            </w:pPr>
            <w:r w:rsidRPr="00515807">
              <w:rPr>
                <w:rFonts w:eastAsia="Arial"/>
              </w:rPr>
              <w:t>100%</w:t>
            </w:r>
          </w:p>
        </w:tc>
      </w:tr>
    </w:tbl>
    <w:p w14:paraId="4A5E4713" w14:textId="77777777" w:rsidR="00F37AA2" w:rsidRPr="00515807" w:rsidRDefault="00F37AA2" w:rsidP="001A7E9D">
      <w:pPr>
        <w:spacing w:line="252" w:lineRule="exact"/>
        <w:ind w:left="-142" w:right="223"/>
        <w:rPr>
          <w:rFonts w:eastAsia="Cambria"/>
        </w:rPr>
      </w:pPr>
      <w:r w:rsidRPr="00515807">
        <w:rPr>
          <w:rFonts w:eastAsia="Cambria"/>
        </w:rPr>
        <w:t>Notes:</w:t>
      </w:r>
    </w:p>
    <w:p w14:paraId="1DD984DD" w14:textId="77777777" w:rsidR="00F37AA2" w:rsidRPr="00515807" w:rsidRDefault="00F37AA2" w:rsidP="001A7E9D">
      <w:pPr>
        <w:widowControl w:val="0"/>
        <w:numPr>
          <w:ilvl w:val="0"/>
          <w:numId w:val="37"/>
        </w:numPr>
        <w:tabs>
          <w:tab w:val="left" w:pos="541"/>
        </w:tabs>
        <w:ind w:left="284" w:hanging="426"/>
        <w:rPr>
          <w:rFonts w:eastAsia="Arial"/>
        </w:rPr>
      </w:pPr>
      <w:r w:rsidRPr="00515807">
        <w:rPr>
          <w:rFonts w:eastAsia="Arial"/>
        </w:rPr>
        <w:t xml:space="preserve">This service standard is measured as part of an annual </w:t>
      </w:r>
      <w:r>
        <w:rPr>
          <w:rFonts w:eastAsia="Arial"/>
        </w:rPr>
        <w:t xml:space="preserve">customer </w:t>
      </w:r>
      <w:r w:rsidRPr="00515807">
        <w:rPr>
          <w:rFonts w:eastAsia="Arial"/>
        </w:rPr>
        <w:t>survey. Customers include</w:t>
      </w:r>
      <w:r>
        <w:rPr>
          <w:rFonts w:eastAsia="Arial"/>
        </w:rPr>
        <w:t xml:space="preserve"> the Minister,</w:t>
      </w:r>
      <w:r w:rsidRPr="00515807">
        <w:rPr>
          <w:rFonts w:eastAsia="Arial"/>
        </w:rPr>
        <w:t xml:space="preserve"> state and local government stakeholders with a role</w:t>
      </w:r>
      <w:r w:rsidRPr="00515807">
        <w:rPr>
          <w:rFonts w:eastAsia="Arial"/>
          <w:spacing w:val="-31"/>
        </w:rPr>
        <w:t xml:space="preserve"> </w:t>
      </w:r>
      <w:r w:rsidRPr="00515807">
        <w:rPr>
          <w:rFonts w:eastAsia="Arial"/>
        </w:rPr>
        <w:t>in disaster and emergency management. This service standard measures overall satisfaction</w:t>
      </w:r>
      <w:r w:rsidRPr="00515807">
        <w:rPr>
          <w:rFonts w:eastAsia="Arial"/>
          <w:spacing w:val="-31"/>
        </w:rPr>
        <w:t xml:space="preserve"> </w:t>
      </w:r>
      <w:r w:rsidRPr="00515807">
        <w:rPr>
          <w:rFonts w:eastAsia="Arial"/>
        </w:rPr>
        <w:t>with the Office of the IGEM. Overall satisfaction is measured in terms of satisfaction with aspects</w:t>
      </w:r>
      <w:r w:rsidRPr="00515807">
        <w:rPr>
          <w:rFonts w:eastAsia="Arial"/>
          <w:spacing w:val="-28"/>
        </w:rPr>
        <w:t xml:space="preserve"> </w:t>
      </w:r>
      <w:r w:rsidRPr="00515807">
        <w:rPr>
          <w:rFonts w:eastAsia="Arial"/>
        </w:rPr>
        <w:t>of staff performance, timeliness, accessibility, quality, advice given and services provided.</w:t>
      </w:r>
      <w:r w:rsidRPr="00515807">
        <w:rPr>
          <w:rFonts w:eastAsia="Arial"/>
          <w:spacing w:val="51"/>
        </w:rPr>
        <w:t xml:space="preserve"> </w:t>
      </w:r>
      <w:r w:rsidRPr="00515807">
        <w:rPr>
          <w:rFonts w:eastAsia="Arial"/>
        </w:rPr>
        <w:t>It measures the number of respondents who indicated they were either ‘very satisfied’ or</w:t>
      </w:r>
      <w:r w:rsidRPr="00515807">
        <w:rPr>
          <w:rFonts w:eastAsia="Arial"/>
          <w:spacing w:val="-35"/>
        </w:rPr>
        <w:t xml:space="preserve"> </w:t>
      </w:r>
      <w:r w:rsidRPr="00515807">
        <w:rPr>
          <w:rFonts w:eastAsia="Arial"/>
        </w:rPr>
        <w:t>‘satisfied’</w:t>
      </w:r>
      <w:r w:rsidRPr="00515807">
        <w:rPr>
          <w:rFonts w:eastAsia="Arial"/>
          <w:spacing w:val="-1"/>
        </w:rPr>
        <w:t xml:space="preserve"> </w:t>
      </w:r>
      <w:r w:rsidRPr="00515807">
        <w:rPr>
          <w:rFonts w:eastAsia="Arial"/>
        </w:rPr>
        <w:t>with the services and advice provided by the Office of the IGEM, represented as a percentage</w:t>
      </w:r>
      <w:r w:rsidRPr="00515807">
        <w:rPr>
          <w:rFonts w:eastAsia="Arial"/>
          <w:spacing w:val="-30"/>
        </w:rPr>
        <w:t xml:space="preserve"> </w:t>
      </w:r>
      <w:r w:rsidRPr="00515807">
        <w:rPr>
          <w:rFonts w:eastAsia="Arial"/>
        </w:rPr>
        <w:t>of the total number of responses</w:t>
      </w:r>
      <w:r w:rsidRPr="00515807">
        <w:rPr>
          <w:rFonts w:eastAsia="Arial"/>
          <w:spacing w:val="-1"/>
        </w:rPr>
        <w:t xml:space="preserve"> </w:t>
      </w:r>
      <w:r w:rsidRPr="00515807">
        <w:rPr>
          <w:rFonts w:eastAsia="Arial"/>
        </w:rPr>
        <w:t>received.</w:t>
      </w:r>
    </w:p>
    <w:p w14:paraId="3CCAC769" w14:textId="77777777" w:rsidR="00F37AA2" w:rsidRPr="00515807" w:rsidRDefault="00F37AA2" w:rsidP="001A7E9D">
      <w:pPr>
        <w:widowControl w:val="0"/>
        <w:numPr>
          <w:ilvl w:val="0"/>
          <w:numId w:val="37"/>
        </w:numPr>
        <w:tabs>
          <w:tab w:val="left" w:pos="541"/>
        </w:tabs>
        <w:ind w:left="284" w:hanging="426"/>
        <w:rPr>
          <w:rFonts w:eastAsia="Arial"/>
        </w:rPr>
      </w:pPr>
      <w:r w:rsidRPr="00515807">
        <w:rPr>
          <w:rFonts w:eastAsia="Arial"/>
        </w:rPr>
        <w:t xml:space="preserve">This service standard measures the number of recommendations agreed to by the entities to which the recommendations apply, expressed as a percentage of the total number of recommendations made by the Office of the IGEM. This calculation is based on reports formally provided to the Minister during the financial year. ‘Agreed to’ refers to those recommendations which have been accepted by an accountable officer of the entity to which the recommendation applies. </w:t>
      </w:r>
    </w:p>
    <w:p w14:paraId="4A50D8AB" w14:textId="77777777" w:rsidR="00F37AA2" w:rsidRPr="00F37AA2" w:rsidRDefault="00F37AA2" w:rsidP="00F37AA2">
      <w:pPr>
        <w:spacing w:line="252" w:lineRule="exact"/>
        <w:ind w:left="112" w:right="223"/>
        <w:rPr>
          <w:rFonts w:eastAsia="Cambria"/>
          <w:b/>
          <w:sz w:val="16"/>
          <w:szCs w:val="16"/>
        </w:rPr>
      </w:pPr>
      <w:r w:rsidRPr="00F37AA2">
        <w:rPr>
          <w:rFonts w:eastAsia="Cambria"/>
          <w:b/>
          <w:sz w:val="16"/>
          <w:szCs w:val="16"/>
        </w:rPr>
        <w:t>Key</w:t>
      </w:r>
      <w:bookmarkStart w:id="123" w:name="_GoBack"/>
      <w:bookmarkEnd w:id="123"/>
    </w:p>
    <w:p w14:paraId="1A94E394" w14:textId="77777777" w:rsidR="00F37AA2" w:rsidRPr="00F37AA2" w:rsidRDefault="00F37AA2" w:rsidP="00F37AA2">
      <w:pPr>
        <w:widowControl w:val="0"/>
        <w:tabs>
          <w:tab w:val="left" w:pos="1985"/>
        </w:tabs>
        <w:spacing w:after="0"/>
        <w:ind w:left="112" w:right="557"/>
        <w:rPr>
          <w:rFonts w:eastAsia="Cambria"/>
          <w:sz w:val="16"/>
          <w:szCs w:val="16"/>
        </w:rPr>
      </w:pPr>
      <w:r w:rsidRPr="00F37AA2">
        <w:rPr>
          <w:rFonts w:eastAsia="Cambria"/>
          <w:sz w:val="16"/>
          <w:szCs w:val="16"/>
        </w:rPr>
        <w:t xml:space="preserve">SDS: </w:t>
      </w:r>
      <w:r w:rsidRPr="00F37AA2">
        <w:rPr>
          <w:rFonts w:eastAsia="Cambria"/>
          <w:sz w:val="16"/>
          <w:szCs w:val="16"/>
        </w:rPr>
        <w:tab/>
      </w:r>
      <w:r w:rsidRPr="00F37AA2">
        <w:rPr>
          <w:rFonts w:eastAsia="Cambria"/>
          <w:sz w:val="16"/>
          <w:szCs w:val="16"/>
        </w:rPr>
        <w:tab/>
        <w:t>Service Delivery Statement</w:t>
      </w:r>
    </w:p>
    <w:p w14:paraId="5CEB54DE" w14:textId="77777777" w:rsidR="00F37AA2" w:rsidRPr="00F37AA2" w:rsidRDefault="00F37AA2" w:rsidP="00F37AA2">
      <w:pPr>
        <w:widowControl w:val="0"/>
        <w:spacing w:after="0"/>
        <w:ind w:left="2160" w:right="557" w:hanging="2048"/>
        <w:rPr>
          <w:rFonts w:eastAsia="Cambria"/>
          <w:sz w:val="16"/>
          <w:szCs w:val="16"/>
        </w:rPr>
      </w:pPr>
      <w:r w:rsidRPr="00F37AA2">
        <w:rPr>
          <w:rFonts w:eastAsia="Cambria"/>
          <w:sz w:val="16"/>
          <w:szCs w:val="16"/>
        </w:rPr>
        <w:t xml:space="preserve">Strategic Plan: </w:t>
      </w:r>
      <w:r w:rsidRPr="00F37AA2">
        <w:rPr>
          <w:rFonts w:eastAsia="Cambria"/>
          <w:sz w:val="16"/>
          <w:szCs w:val="16"/>
        </w:rPr>
        <w:tab/>
        <w:t>The Office of the Inspector-General Emergency Management Strategic Plan 2016-20</w:t>
      </w:r>
    </w:p>
    <w:p w14:paraId="1EAAD20C" w14:textId="77777777" w:rsidR="00DC4946" w:rsidRDefault="00DC4946">
      <w:pPr>
        <w:rPr>
          <w:rFonts w:ascii="Arial Bold" w:eastAsia="Times New Roman" w:hAnsi="Arial Bold"/>
          <w:b/>
          <w:i/>
          <w:color w:val="AB054C"/>
          <w:sz w:val="36"/>
          <w14:ligatures w14:val="standardContextual"/>
        </w:rPr>
      </w:pPr>
      <w:bookmarkStart w:id="124" w:name="_Toc492622955"/>
      <w:r>
        <w:br w:type="page"/>
      </w:r>
    </w:p>
    <w:p w14:paraId="25C78B3A" w14:textId="369C2100" w:rsidR="00405941" w:rsidRPr="001F5A45" w:rsidRDefault="00D4140B" w:rsidP="007703EB">
      <w:pPr>
        <w:pStyle w:val="Heading2"/>
      </w:pPr>
      <w:r>
        <w:lastRenderedPageBreak/>
        <w:t>2016-17</w:t>
      </w:r>
      <w:r w:rsidR="00405941" w:rsidRPr="001F5A45">
        <w:t xml:space="preserve"> Highlights</w:t>
      </w:r>
      <w:bookmarkEnd w:id="115"/>
      <w:bookmarkEnd w:id="116"/>
      <w:bookmarkEnd w:id="117"/>
      <w:bookmarkEnd w:id="118"/>
      <w:bookmarkEnd w:id="119"/>
      <w:bookmarkEnd w:id="120"/>
      <w:bookmarkEnd w:id="121"/>
      <w:bookmarkEnd w:id="122"/>
      <w:bookmarkEnd w:id="124"/>
    </w:p>
    <w:p w14:paraId="1314302A" w14:textId="77777777" w:rsidR="00771EF0" w:rsidRDefault="00771EF0" w:rsidP="001A7E9D">
      <w:pPr>
        <w:ind w:left="-142"/>
        <w:rPr>
          <w:rFonts w:eastAsia="Cambria"/>
        </w:rPr>
      </w:pPr>
      <w:r w:rsidRPr="00515807">
        <w:rPr>
          <w:rFonts w:eastAsia="Cambria"/>
        </w:rPr>
        <w:t>This section reports on the objectives of the Office of the IGEM Strategic Plan 201</w:t>
      </w:r>
      <w:r>
        <w:rPr>
          <w:rFonts w:eastAsia="Cambria"/>
        </w:rPr>
        <w:t>6-2020</w:t>
      </w:r>
      <w:r w:rsidRPr="00515807">
        <w:rPr>
          <w:rFonts w:eastAsia="Cambria"/>
        </w:rPr>
        <w:t>. This is a sample of performance highlights from 201</w:t>
      </w:r>
      <w:r>
        <w:rPr>
          <w:rFonts w:eastAsia="Cambria"/>
        </w:rPr>
        <w:t>6</w:t>
      </w:r>
      <w:r w:rsidRPr="00515807">
        <w:rPr>
          <w:rFonts w:eastAsia="Cambria"/>
        </w:rPr>
        <w:t>-1</w:t>
      </w:r>
      <w:r>
        <w:rPr>
          <w:rFonts w:eastAsia="Cambria"/>
        </w:rPr>
        <w:t>7</w:t>
      </w:r>
      <w:r w:rsidRPr="00515807">
        <w:rPr>
          <w:rFonts w:eastAsia="Cambria"/>
        </w:rPr>
        <w:t xml:space="preserve"> and is not representative of all work undertaken during the reporting period.</w:t>
      </w:r>
    </w:p>
    <w:p w14:paraId="08887F5F" w14:textId="7050648F" w:rsidR="00771EF0" w:rsidRPr="00515807" w:rsidRDefault="00577601" w:rsidP="00771EF0">
      <w:pPr>
        <w:rPr>
          <w:rFonts w:eastAsia="Calibri"/>
        </w:rPr>
      </w:pPr>
      <w:r w:rsidRPr="00515807">
        <w:rPr>
          <w:rFonts w:eastAsia="Calibri"/>
          <w:noProof/>
          <w:lang w:val="en-AU" w:eastAsia="en-AU"/>
        </w:rPr>
        <mc:AlternateContent>
          <mc:Choice Requires="wpg">
            <w:drawing>
              <wp:anchor distT="0" distB="0" distL="114300" distR="114300" simplePos="0" relativeHeight="251682816" behindDoc="0" locked="0" layoutInCell="1" allowOverlap="1" wp14:anchorId="18FC6E1A" wp14:editId="6F117C8C">
                <wp:simplePos x="0" y="0"/>
                <wp:positionH relativeFrom="column">
                  <wp:posOffset>-72390</wp:posOffset>
                </wp:positionH>
                <wp:positionV relativeFrom="paragraph">
                  <wp:posOffset>254000</wp:posOffset>
                </wp:positionV>
                <wp:extent cx="6479540" cy="2486025"/>
                <wp:effectExtent l="19050" t="19050" r="16510" b="28575"/>
                <wp:wrapNone/>
                <wp:docPr id="30" name="Group 30"/>
                <wp:cNvGraphicFramePr/>
                <a:graphic xmlns:a="http://schemas.openxmlformats.org/drawingml/2006/main">
                  <a:graphicData uri="http://schemas.microsoft.com/office/word/2010/wordprocessingGroup">
                    <wpg:wgp>
                      <wpg:cNvGrpSpPr/>
                      <wpg:grpSpPr>
                        <a:xfrm>
                          <a:off x="0" y="0"/>
                          <a:ext cx="6479540" cy="2486025"/>
                          <a:chOff x="0" y="0"/>
                          <a:chExt cx="6479540" cy="2753833"/>
                        </a:xfrm>
                      </wpg:grpSpPr>
                      <wps:wsp>
                        <wps:cNvPr id="250" name="Rounded Rectangle 250"/>
                        <wps:cNvSpPr/>
                        <wps:spPr>
                          <a:xfrm>
                            <a:off x="0" y="0"/>
                            <a:ext cx="6479540" cy="2753833"/>
                          </a:xfrm>
                          <a:prstGeom prst="roundRect">
                            <a:avLst/>
                          </a:prstGeom>
                          <a:solidFill>
                            <a:srgbClr val="AB054C">
                              <a:alpha val="98000"/>
                            </a:srgbClr>
                          </a:solidFill>
                          <a:ln w="28575" cap="flat" cmpd="sng" algn="ctr">
                            <a:solidFill>
                              <a:srgbClr val="8A002E"/>
                            </a:solidFill>
                            <a:prstDash val="solid"/>
                          </a:ln>
                          <a:effectLst/>
                        </wps:spPr>
                        <wps:txbx>
                          <w:txbxContent>
                            <w:p w14:paraId="74003A11" w14:textId="77777777" w:rsidR="00CE542E" w:rsidRPr="00F11267" w:rsidRDefault="00CE542E" w:rsidP="00771EF0">
                              <w:pPr>
                                <w:pStyle w:val="Heading4"/>
                                <w:rPr>
                                  <w:rFonts w:ascii="Arial" w:hAnsi="Arial" w:cs="Arial"/>
                                </w:rPr>
                              </w:pPr>
                              <w:bookmarkStart w:id="125" w:name="_Toc459712712"/>
                              <w:bookmarkStart w:id="126" w:name="_Toc460404384"/>
                              <w:r w:rsidRPr="00F11267">
                                <w:rPr>
                                  <w:rFonts w:ascii="Arial" w:hAnsi="Arial" w:cs="Arial"/>
                                </w:rPr>
                                <w:t>Objective One</w:t>
                              </w:r>
                              <w:bookmarkEnd w:id="125"/>
                              <w:bookmarkEnd w:id="126"/>
                            </w:p>
                          </w:txbxContent>
                        </wps:txbx>
                        <wps:bodyPr rot="0" spcFirstLastPara="0" vertOverflow="overflow" horzOverflow="overflow" vert="horz" wrap="square" lIns="216000" tIns="0" rIns="91440" bIns="45720" numCol="1" spcCol="0" rtlCol="0" fromWordArt="0" anchor="t" anchorCtr="0" forceAA="0" compatLnSpc="1">
                          <a:prstTxWarp prst="textNoShape">
                            <a:avLst/>
                          </a:prstTxWarp>
                          <a:noAutofit/>
                        </wps:bodyPr>
                      </wps:wsp>
                      <wps:wsp>
                        <wps:cNvPr id="251" name="Rounded Rectangle 251"/>
                        <wps:cNvSpPr/>
                        <wps:spPr>
                          <a:xfrm>
                            <a:off x="152400" y="590550"/>
                            <a:ext cx="2051685" cy="2010410"/>
                          </a:xfrm>
                          <a:prstGeom prst="roundRect">
                            <a:avLst/>
                          </a:prstGeom>
                          <a:solidFill>
                            <a:srgbClr val="960443"/>
                          </a:solidFill>
                          <a:ln w="28575" cap="flat" cmpd="sng" algn="ctr">
                            <a:solidFill>
                              <a:srgbClr val="FFFFFF">
                                <a:lumMod val="95000"/>
                              </a:srgbClr>
                            </a:solidFill>
                            <a:prstDash val="solid"/>
                          </a:ln>
                          <a:effectLst/>
                        </wps:spPr>
                        <wps:txbx>
                          <w:txbxContent>
                            <w:p w14:paraId="0BE0A87D" w14:textId="77777777" w:rsidR="00CE542E" w:rsidRPr="00515807" w:rsidRDefault="00CE542E" w:rsidP="00D4140B">
                              <w:pPr>
                                <w:spacing w:after="0"/>
                                <w:contextualSpacing/>
                                <w:rPr>
                                  <w:rFonts w:eastAsia="Times New Roman"/>
                                  <w:color w:val="FFFFFF"/>
                                  <w:szCs w:val="24"/>
                                  <w:lang w:eastAsia="en-AU"/>
                                </w:rPr>
                              </w:pPr>
                              <w:r>
                                <w:rPr>
                                  <w:i/>
                                </w:rPr>
                                <w:t>Government, stakeholders and the community receive independent assurance and advice about Queensland’s emergency management arrangements</w:t>
                              </w:r>
                              <w:r w:rsidRPr="004D56F3">
                                <w:rPr>
                                  <w:i/>
                                </w:rPr>
                                <w:t>.</w:t>
                              </w:r>
                            </w:p>
                            <w:p w14:paraId="47C0A0A0" w14:textId="465D7F12" w:rsidR="00CE542E" w:rsidRPr="00515807" w:rsidRDefault="00CE542E" w:rsidP="00771EF0">
                              <w:pPr>
                                <w:spacing w:after="0"/>
                                <w:contextualSpacing/>
                                <w:rPr>
                                  <w:rFonts w:eastAsia="Times New Roman"/>
                                  <w:color w:val="FFFFFF"/>
                                  <w:szCs w:val="24"/>
                                  <w:lang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s:wsp>
                        <wps:cNvPr id="252" name="Rounded Rectangle 252"/>
                        <wps:cNvSpPr/>
                        <wps:spPr>
                          <a:xfrm>
                            <a:off x="2419350" y="590549"/>
                            <a:ext cx="3881755" cy="2010410"/>
                          </a:xfrm>
                          <a:prstGeom prst="roundRect">
                            <a:avLst/>
                          </a:prstGeom>
                          <a:solidFill>
                            <a:srgbClr val="8A043D"/>
                          </a:solidFill>
                          <a:ln w="28575" cap="flat" cmpd="sng" algn="ctr">
                            <a:solidFill>
                              <a:srgbClr val="FFFFFF"/>
                            </a:solidFill>
                            <a:prstDash val="solid"/>
                          </a:ln>
                          <a:effectLst/>
                        </wps:spPr>
                        <wps:txbx>
                          <w:txbxContent>
                            <w:p w14:paraId="2D57826A" w14:textId="77777777" w:rsidR="00CE542E" w:rsidRPr="00F11267" w:rsidRDefault="00CE542E" w:rsidP="00D4140B">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1132EA83" w14:textId="77777777" w:rsidR="00CE542E" w:rsidRPr="004D56F3" w:rsidRDefault="00CE542E" w:rsidP="00D4140B">
                              <w:pPr>
                                <w:pStyle w:val="1"/>
                                <w:numPr>
                                  <w:ilvl w:val="0"/>
                                  <w:numId w:val="17"/>
                                </w:numPr>
                                <w:spacing w:before="0" w:after="0"/>
                                <w:rPr>
                                  <w:rFonts w:eastAsia="Arial"/>
                                </w:rPr>
                              </w:pPr>
                              <w:r>
                                <w:t>Embed</w:t>
                              </w:r>
                              <w:r w:rsidRPr="004D56F3">
                                <w:t xml:space="preserve"> and validate the Emergency Management Assurance Framework in collaboration with stakeholders.</w:t>
                              </w:r>
                            </w:p>
                            <w:p w14:paraId="1FD6EB78" w14:textId="4F871613" w:rsidR="00CE542E" w:rsidRPr="004D56F3" w:rsidRDefault="00CE542E" w:rsidP="00AB2417">
                              <w:pPr>
                                <w:pStyle w:val="1"/>
                                <w:numPr>
                                  <w:ilvl w:val="0"/>
                                  <w:numId w:val="17"/>
                                </w:numPr>
                                <w:spacing w:before="0" w:after="0"/>
                              </w:pPr>
                              <w:r w:rsidRPr="004D56F3">
                                <w:t xml:space="preserve">Provide </w:t>
                              </w:r>
                              <w:r w:rsidRPr="00515807">
                                <w:rPr>
                                  <w:rFonts w:eastAsia="+mn-ea"/>
                                  <w:color w:val="FFFFFF"/>
                                  <w:kern w:val="0"/>
                                  <w:szCs w:val="22"/>
                                  <w:lang w:eastAsia="en-AU"/>
                                </w:rPr>
                                <w:t>diligent</w:t>
                              </w:r>
                              <w:r w:rsidRPr="004D56F3">
                                <w:t xml:space="preserve"> oversight to ensure that accountabilities and responsibilities are known, understood and met across emergency management.</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FC6E1A" id="Group 30" o:spid="_x0000_s1026" style="position:absolute;margin-left:-5.7pt;margin-top:20pt;width:510.2pt;height:195.75pt;z-index:251682816;mso-height-relative:margin" coordsize="64795,27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">
                <v:roundrect id="Rounded Rectangle 250" o:spid="_x0000_s1027" style="position:absolute;width:64795;height:275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gssQA&#10;AADcAAAADwAAAGRycy9kb3ducmV2LnhtbESPTUvDQBCG74L/YRnBm91YtEjsNgRB8KDQDwW9Ddkx&#10;G5qdCdm1jf5651DocXjnfWaeZTXF3hxoTJ2wg9tZAYa4Ed9x6+B993zzACZlZI+9MDn4pQTV6vJi&#10;iaWXI2/osM2tUQinEh2EnIfS2tQEiphmMhBr9i1jxKzj2Fo/4lHhsbfzoljYiB3rhYADPQVq9tuf&#10;qBT8Cn8i3Nx9DrJehzp/vO7fnLu+mupHMJmmfF4+tV+8g/m9vq8yKgJ2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4LLEAAAA3AAAAA8AAAAAAAAAAAAAAAAAmAIAAGRycy9k&#10;b3ducmV2LnhtbFBLBQYAAAAABAAEAPUAAACJAwAAAAA=&#10;" fillcolor="#ab054c" strokecolor="#8a002e" strokeweight="2.25pt">
                  <v:fill opacity="64250f"/>
                  <v:textbox inset="6mm,0">
                    <w:txbxContent>
                      <w:p w14:paraId="74003A11" w14:textId="77777777" w:rsidR="00CE542E" w:rsidRPr="00F11267" w:rsidRDefault="00CE542E" w:rsidP="00771EF0">
                        <w:pPr>
                          <w:pStyle w:val="Heading4"/>
                          <w:rPr>
                            <w:rFonts w:ascii="Arial" w:hAnsi="Arial" w:cs="Arial"/>
                          </w:rPr>
                        </w:pPr>
                        <w:bookmarkStart w:id="127" w:name="_Toc459712712"/>
                        <w:bookmarkStart w:id="128" w:name="_Toc460404384"/>
                        <w:r w:rsidRPr="00F11267">
                          <w:rPr>
                            <w:rFonts w:ascii="Arial" w:hAnsi="Arial" w:cs="Arial"/>
                          </w:rPr>
                          <w:t>Objective One</w:t>
                        </w:r>
                        <w:bookmarkEnd w:id="127"/>
                        <w:bookmarkEnd w:id="128"/>
                      </w:p>
                    </w:txbxContent>
                  </v:textbox>
                </v:roundrect>
                <v:roundrect id="Rounded Rectangle 251" o:spid="_x0000_s1028" style="position:absolute;left:1524;top:5905;width:20516;height:2010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loMQA&#10;AADcAAAADwAAAGRycy9kb3ducmV2LnhtbESPQWvCQBSE7wX/w/IK3upGrVWiq0iL4EWoqd6f2WeS&#10;mn0bdlcT/31XKHgcZuYbZrHqTC1u5HxlWcFwkIAgzq2uuFBw+Nm8zUD4gKyxtkwK7uRhtey9LDDV&#10;tuU93bJQiAhhn6KCMoQmldLnJRn0A9sQR+9sncEQpSukdthGuKnlKEk+pMGK40KJDX2WlF+yq1Fw&#10;GX9P0W2P7S/uj5OvXXV/p1OmVP+1W89BBOrCM/zf3moFo8kQHm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BJaDEAAAA3AAAAA8AAAAAAAAAAAAAAAAAmAIAAGRycy9k&#10;b3ducmV2LnhtbFBLBQYAAAAABAAEAPUAAACJAwAAAAA=&#10;" fillcolor="#960443" strokecolor="#f2f2f2" strokeweight="2.25pt">
                  <v:textbox inset=",1mm,,1mm">
                    <w:txbxContent>
                      <w:p w14:paraId="0BE0A87D" w14:textId="77777777" w:rsidR="00CE542E" w:rsidRPr="00515807" w:rsidRDefault="00CE542E" w:rsidP="00D4140B">
                        <w:pPr>
                          <w:spacing w:after="0"/>
                          <w:contextualSpacing/>
                          <w:rPr>
                            <w:rFonts w:eastAsia="Times New Roman"/>
                            <w:color w:val="FFFFFF"/>
                            <w:szCs w:val="24"/>
                            <w:lang w:eastAsia="en-AU"/>
                          </w:rPr>
                        </w:pPr>
                        <w:r>
                          <w:rPr>
                            <w:i/>
                          </w:rPr>
                          <w:t>Government, stakeholders and the community receive independent assurance and advice about Queensland’s emergency management arrangements</w:t>
                        </w:r>
                        <w:r w:rsidRPr="004D56F3">
                          <w:rPr>
                            <w:i/>
                          </w:rPr>
                          <w:t>.</w:t>
                        </w:r>
                      </w:p>
                      <w:p w14:paraId="47C0A0A0" w14:textId="465D7F12" w:rsidR="00CE542E" w:rsidRPr="00515807" w:rsidRDefault="00CE542E" w:rsidP="00771EF0">
                        <w:pPr>
                          <w:spacing w:after="0"/>
                          <w:contextualSpacing/>
                          <w:rPr>
                            <w:rFonts w:eastAsia="Times New Roman"/>
                            <w:color w:val="FFFFFF"/>
                            <w:szCs w:val="24"/>
                            <w:lang w:eastAsia="en-AU"/>
                          </w:rPr>
                        </w:pPr>
                      </w:p>
                    </w:txbxContent>
                  </v:textbox>
                </v:roundrect>
                <v:roundrect id="Rounded Rectangle 252" o:spid="_x0000_s1029" style="position:absolute;left:24193;top:5905;width:38818;height:2010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O0tMQA&#10;AADcAAAADwAAAGRycy9kb3ducmV2LnhtbESPQWvCQBSE74X+h+UVequbBlokuoqIguAhNAa8PrKv&#10;2ZDs25hdY/z33YLgcZiZb5jlerKdGGnwjWMFn7MEBHHldMO1gvK0/5iD8AFZY+eYFNzJw3r1+rLE&#10;TLsb/9BYhFpECPsMFZgQ+kxKXxmy6GeuJ47erxsshiiHWuoBbxFuO5kmybe02HBcMNjT1lDVFler&#10;YLvB6l7nbWFKHi9Fnu/a87FU6v1t2ixABJrCM/xoH7SC9CuF/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DtLTEAAAA3AAAAA8AAAAAAAAAAAAAAAAAmAIAAGRycy9k&#10;b3ducmV2LnhtbFBLBQYAAAAABAAEAPUAAACJAwAAAAA=&#10;" fillcolor="#8a043d" strokecolor="white" strokeweight="2.25pt">
                  <v:textbox inset=",1mm,,1mm">
                    <w:txbxContent>
                      <w:p w14:paraId="2D57826A" w14:textId="77777777" w:rsidR="00CE542E" w:rsidRPr="00F11267" w:rsidRDefault="00CE542E" w:rsidP="00D4140B">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1132EA83" w14:textId="77777777" w:rsidR="00CE542E" w:rsidRPr="004D56F3" w:rsidRDefault="00CE542E" w:rsidP="00D4140B">
                        <w:pPr>
                          <w:pStyle w:val="1"/>
                          <w:numPr>
                            <w:ilvl w:val="0"/>
                            <w:numId w:val="17"/>
                          </w:numPr>
                          <w:spacing w:before="0" w:after="0"/>
                          <w:rPr>
                            <w:rFonts w:eastAsia="Arial"/>
                          </w:rPr>
                        </w:pPr>
                        <w:r>
                          <w:t>Embed</w:t>
                        </w:r>
                        <w:r w:rsidRPr="004D56F3">
                          <w:t xml:space="preserve"> and validate the Emergency Management Assurance Framework in collaboration with stakeholders.</w:t>
                        </w:r>
                      </w:p>
                      <w:p w14:paraId="1FD6EB78" w14:textId="4F871613" w:rsidR="00CE542E" w:rsidRPr="004D56F3" w:rsidRDefault="00CE542E" w:rsidP="00AB2417">
                        <w:pPr>
                          <w:pStyle w:val="1"/>
                          <w:numPr>
                            <w:ilvl w:val="0"/>
                            <w:numId w:val="17"/>
                          </w:numPr>
                          <w:spacing w:before="0" w:after="0"/>
                        </w:pPr>
                        <w:r w:rsidRPr="004D56F3">
                          <w:t xml:space="preserve">Provide </w:t>
                        </w:r>
                        <w:r w:rsidRPr="00515807">
                          <w:rPr>
                            <w:rFonts w:eastAsia="+mn-ea"/>
                            <w:color w:val="FFFFFF"/>
                            <w:kern w:val="0"/>
                            <w:szCs w:val="22"/>
                            <w:lang w:eastAsia="en-AU"/>
                          </w:rPr>
                          <w:t>diligent</w:t>
                        </w:r>
                        <w:r w:rsidRPr="004D56F3">
                          <w:t xml:space="preserve"> oversight to ensure that accountabilities and responsibilities are known, understood and met across emergency management.</w:t>
                        </w:r>
                      </w:p>
                    </w:txbxContent>
                  </v:textbox>
                </v:roundrect>
              </v:group>
            </w:pict>
          </mc:Fallback>
        </mc:AlternateContent>
      </w:r>
    </w:p>
    <w:p w14:paraId="778B1741" w14:textId="74B21EB1" w:rsidR="00771EF0" w:rsidRPr="00515807" w:rsidRDefault="00771EF0" w:rsidP="00771EF0">
      <w:pPr>
        <w:rPr>
          <w:rFonts w:eastAsia="Calibri"/>
          <w:highlight w:val="yellow"/>
        </w:rPr>
      </w:pPr>
    </w:p>
    <w:p w14:paraId="2E081E36" w14:textId="77777777" w:rsidR="00771EF0" w:rsidRPr="00515807" w:rsidRDefault="00771EF0" w:rsidP="00771EF0">
      <w:pPr>
        <w:rPr>
          <w:rFonts w:eastAsia="Calibri"/>
          <w:highlight w:val="yellow"/>
        </w:rPr>
      </w:pPr>
    </w:p>
    <w:p w14:paraId="087BD25D" w14:textId="77777777" w:rsidR="00771EF0" w:rsidRPr="00515807" w:rsidRDefault="00771EF0" w:rsidP="00771EF0">
      <w:pPr>
        <w:rPr>
          <w:rFonts w:eastAsia="Calibri"/>
          <w:highlight w:val="yellow"/>
        </w:rPr>
      </w:pPr>
    </w:p>
    <w:p w14:paraId="1141FDF9" w14:textId="77777777" w:rsidR="00771EF0" w:rsidRPr="00515807" w:rsidRDefault="00771EF0" w:rsidP="00771EF0">
      <w:pPr>
        <w:rPr>
          <w:rFonts w:eastAsia="Calibri"/>
          <w:highlight w:val="yellow"/>
        </w:rPr>
      </w:pPr>
    </w:p>
    <w:p w14:paraId="2BB8F82C" w14:textId="77777777" w:rsidR="00771EF0" w:rsidRPr="00515807" w:rsidRDefault="00771EF0" w:rsidP="00771EF0">
      <w:pPr>
        <w:rPr>
          <w:rFonts w:eastAsia="Calibri"/>
          <w:highlight w:val="yellow"/>
        </w:rPr>
      </w:pPr>
    </w:p>
    <w:p w14:paraId="72158B18" w14:textId="77777777" w:rsidR="00771EF0" w:rsidRPr="00515807" w:rsidRDefault="00771EF0" w:rsidP="00771EF0">
      <w:pPr>
        <w:rPr>
          <w:rFonts w:eastAsia="Calibri"/>
          <w:highlight w:val="yellow"/>
        </w:rPr>
      </w:pPr>
    </w:p>
    <w:p w14:paraId="3F861320" w14:textId="77777777" w:rsidR="00771EF0" w:rsidRPr="00515807" w:rsidRDefault="00771EF0" w:rsidP="00771EF0">
      <w:pPr>
        <w:rPr>
          <w:rFonts w:eastAsia="Calibri"/>
          <w:highlight w:val="yellow"/>
        </w:rPr>
      </w:pPr>
    </w:p>
    <w:p w14:paraId="159892C3" w14:textId="77777777" w:rsidR="00771EF0" w:rsidRPr="00515807" w:rsidRDefault="00771EF0" w:rsidP="00771EF0">
      <w:pPr>
        <w:rPr>
          <w:rFonts w:eastAsia="Calibri"/>
          <w:highlight w:val="yellow"/>
        </w:rPr>
      </w:pPr>
    </w:p>
    <w:p w14:paraId="1942F80B" w14:textId="77777777" w:rsidR="00771EF0" w:rsidRPr="00515807" w:rsidRDefault="00771EF0" w:rsidP="00771EF0">
      <w:pPr>
        <w:rPr>
          <w:rFonts w:eastAsia="Calibri"/>
          <w:highlight w:val="yellow"/>
        </w:rPr>
      </w:pPr>
    </w:p>
    <w:p w14:paraId="39327020" w14:textId="77777777" w:rsidR="00771EF0" w:rsidRPr="00515807" w:rsidRDefault="00771EF0" w:rsidP="00771EF0">
      <w:pPr>
        <w:rPr>
          <w:rFonts w:eastAsia="Calibri"/>
          <w:highlight w:val="yellow"/>
        </w:rPr>
      </w:pPr>
    </w:p>
    <w:p w14:paraId="5F0442F5" w14:textId="77777777" w:rsidR="00771EF0" w:rsidRPr="00515807" w:rsidRDefault="00771EF0" w:rsidP="00771EF0">
      <w:pPr>
        <w:rPr>
          <w:rFonts w:eastAsia="Calibri"/>
          <w:highlight w:val="yellow"/>
        </w:rPr>
      </w:pPr>
    </w:p>
    <w:p w14:paraId="6A7B7CD7" w14:textId="77777777" w:rsidR="00771EF0" w:rsidRPr="00405778" w:rsidRDefault="00771EF0" w:rsidP="00913AA5">
      <w:pPr>
        <w:tabs>
          <w:tab w:val="left" w:pos="567"/>
          <w:tab w:val="left" w:pos="1107"/>
        </w:tabs>
        <w:spacing w:before="240"/>
        <w:ind w:left="-142"/>
        <w:rPr>
          <w:rFonts w:eastAsia="Calibri"/>
          <w:b/>
          <w:sz w:val="28"/>
          <w:szCs w:val="28"/>
        </w:rPr>
      </w:pPr>
      <w:r w:rsidRPr="00405778">
        <w:rPr>
          <w:rFonts w:eastAsia="Calibri"/>
          <w:b/>
          <w:sz w:val="28"/>
          <w:szCs w:val="28"/>
        </w:rPr>
        <w:t>Emergency Management Assurance Framework</w:t>
      </w:r>
    </w:p>
    <w:p w14:paraId="1E7129B6" w14:textId="0731B770" w:rsidR="00771EF0" w:rsidRPr="00515807" w:rsidRDefault="00771EF0" w:rsidP="001A7E9D">
      <w:pPr>
        <w:ind w:left="-142"/>
        <w:rPr>
          <w:rFonts w:eastAsia="Cambria"/>
        </w:rPr>
      </w:pPr>
      <w:r w:rsidRPr="00515807">
        <w:rPr>
          <w:rFonts w:eastAsia="Cambria"/>
        </w:rPr>
        <w:t>The</w:t>
      </w:r>
      <w:r>
        <w:rPr>
          <w:rFonts w:eastAsia="Cambria"/>
        </w:rPr>
        <w:t xml:space="preserve"> </w:t>
      </w:r>
      <w:r w:rsidR="007056CF">
        <w:rPr>
          <w:rFonts w:eastAsia="Cambria"/>
        </w:rPr>
        <w:t xml:space="preserve">Framework </w:t>
      </w:r>
      <w:r w:rsidRPr="00515807">
        <w:rPr>
          <w:rFonts w:eastAsia="Cambria"/>
        </w:rPr>
        <w:t>underpins the Office of the IGEM’s legislated func</w:t>
      </w:r>
      <w:r>
        <w:rPr>
          <w:rFonts w:eastAsia="Cambria"/>
        </w:rPr>
        <w:t>tions and includes the Standard</w:t>
      </w:r>
      <w:r w:rsidR="007056CF">
        <w:rPr>
          <w:rFonts w:eastAsia="Cambria"/>
        </w:rPr>
        <w:t>.</w:t>
      </w:r>
      <w:r>
        <w:rPr>
          <w:rFonts w:eastAsia="Cambria"/>
        </w:rPr>
        <w:t xml:space="preserve"> </w:t>
      </w:r>
    </w:p>
    <w:p w14:paraId="7659EA47" w14:textId="21C6FD5D" w:rsidR="00771EF0" w:rsidRDefault="00771EF0" w:rsidP="001A7E9D">
      <w:pPr>
        <w:ind w:left="-142"/>
        <w:rPr>
          <w:rFonts w:eastAsia="Cambria"/>
        </w:rPr>
      </w:pPr>
      <w:r>
        <w:rPr>
          <w:rFonts w:eastAsia="Cambria"/>
        </w:rPr>
        <w:t xml:space="preserve">In </w:t>
      </w:r>
      <w:r w:rsidRPr="00515807">
        <w:rPr>
          <w:rFonts w:eastAsia="Cambria"/>
        </w:rPr>
        <w:t>201</w:t>
      </w:r>
      <w:r>
        <w:rPr>
          <w:rFonts w:eastAsia="Cambria"/>
        </w:rPr>
        <w:t>6</w:t>
      </w:r>
      <w:r w:rsidRPr="00515807">
        <w:rPr>
          <w:rFonts w:eastAsia="Cambria"/>
        </w:rPr>
        <w:t>-1</w:t>
      </w:r>
      <w:r>
        <w:rPr>
          <w:rFonts w:eastAsia="Cambria"/>
        </w:rPr>
        <w:t>7,</w:t>
      </w:r>
      <w:r w:rsidRPr="00515807">
        <w:rPr>
          <w:rFonts w:eastAsia="Cambria"/>
        </w:rPr>
        <w:t xml:space="preserve"> </w:t>
      </w:r>
      <w:r>
        <w:rPr>
          <w:rFonts w:eastAsia="Cambria"/>
        </w:rPr>
        <w:t xml:space="preserve">the Office of the IGEM applied the Framework to undertake key review activities (refer pages </w:t>
      </w:r>
      <w:r w:rsidR="00D47F14">
        <w:rPr>
          <w:rFonts w:eastAsia="Cambria"/>
        </w:rPr>
        <w:t>23-24</w:t>
      </w:r>
      <w:r>
        <w:rPr>
          <w:rFonts w:eastAsia="Cambria"/>
        </w:rPr>
        <w:t xml:space="preserve">).  </w:t>
      </w:r>
    </w:p>
    <w:p w14:paraId="727DAAB7" w14:textId="77777777" w:rsidR="00771EF0" w:rsidRDefault="00771EF0" w:rsidP="001A7E9D">
      <w:pPr>
        <w:ind w:left="-142"/>
        <w:rPr>
          <w:rFonts w:eastAsia="Cambria"/>
        </w:rPr>
      </w:pPr>
      <w:r>
        <w:rPr>
          <w:rFonts w:eastAsia="Cambria"/>
        </w:rPr>
        <w:t xml:space="preserve">The Framework and Standard were further embedded into the disaster management sector through workshops with key stakeholders including disaster districts, state government agencies and the State Disaster Coordination Group. </w:t>
      </w:r>
    </w:p>
    <w:p w14:paraId="5A0B114F" w14:textId="77777777" w:rsidR="00771EF0" w:rsidRPr="00515807" w:rsidRDefault="00771EF0" w:rsidP="001A7E9D">
      <w:pPr>
        <w:ind w:left="-142"/>
        <w:rPr>
          <w:rFonts w:eastAsia="Cambria"/>
        </w:rPr>
      </w:pPr>
      <w:r w:rsidRPr="00D4187B">
        <w:rPr>
          <w:rFonts w:eastAsia="Cambria"/>
        </w:rPr>
        <w:t>Ninety-eight percent of</w:t>
      </w:r>
      <w:r w:rsidRPr="00515807">
        <w:rPr>
          <w:rFonts w:eastAsia="Cambria"/>
        </w:rPr>
        <w:t xml:space="preserve"> stakeholders responding to the Office of the IGEM’s customer satisfaction survey indicated they were aware of the Standard. </w:t>
      </w:r>
    </w:p>
    <w:p w14:paraId="75A3F404" w14:textId="6F722699" w:rsidR="00771EF0" w:rsidRPr="00515807" w:rsidRDefault="00771EF0" w:rsidP="001A7E9D">
      <w:pPr>
        <w:ind w:left="-142"/>
        <w:rPr>
          <w:rFonts w:eastAsia="Cambria"/>
        </w:rPr>
      </w:pPr>
      <w:r w:rsidRPr="00515807">
        <w:rPr>
          <w:rFonts w:eastAsia="Cambria"/>
        </w:rPr>
        <w:t xml:space="preserve">The Framework is available at </w:t>
      </w:r>
      <w:hyperlink r:id="rId60" w:history="1">
        <w:r w:rsidRPr="007C42B3">
          <w:rPr>
            <w:rStyle w:val="Hyperlink"/>
            <w:rFonts w:eastAsia="Cambria"/>
          </w:rPr>
          <w:t>www.igem.qld.gov.au/assurance-framework/Pages/default.</w:t>
        </w:r>
        <w:r w:rsidRPr="007C42B3">
          <w:rPr>
            <w:rStyle w:val="Hyperlink"/>
          </w:rPr>
          <w:t>aspx</w:t>
        </w:r>
      </w:hyperlink>
      <w:r w:rsidR="00072961">
        <w:t xml:space="preserve"> a</w:t>
      </w:r>
      <w:r w:rsidRPr="00072961">
        <w:t>nd</w:t>
      </w:r>
      <w:r w:rsidRPr="00515807">
        <w:rPr>
          <w:rFonts w:eastAsia="Cambria"/>
        </w:rPr>
        <w:t xml:space="preserve"> the Standard is available at</w:t>
      </w:r>
      <w:r w:rsidRPr="00515807">
        <w:rPr>
          <w:rFonts w:eastAsia="Cambria"/>
          <w:color w:val="AB054C"/>
        </w:rPr>
        <w:t xml:space="preserve"> </w:t>
      </w:r>
      <w:hyperlink r:id="rId61" w:history="1">
        <w:r w:rsidR="00072961" w:rsidRPr="00072961">
          <w:rPr>
            <w:rStyle w:val="Hyperlink"/>
            <w:rFonts w:eastAsia="Cambria"/>
          </w:rPr>
          <w:t>http://www.igem.qld.gov.au/assurance-framework/Pages/standard.aspx</w:t>
        </w:r>
      </w:hyperlink>
      <w:r w:rsidRPr="00072961">
        <w:rPr>
          <w:rFonts w:eastAsia="Cambria"/>
        </w:rPr>
        <w:t xml:space="preserve">. </w:t>
      </w:r>
    </w:p>
    <w:p w14:paraId="2DD52202" w14:textId="77777777" w:rsidR="00771EF0" w:rsidRPr="00072961" w:rsidRDefault="00771EF0" w:rsidP="00913AA5">
      <w:pPr>
        <w:spacing w:before="240"/>
        <w:ind w:left="-142"/>
        <w:rPr>
          <w:rFonts w:eastAsia="Cambria"/>
          <w:b/>
          <w:sz w:val="28"/>
          <w:szCs w:val="28"/>
        </w:rPr>
      </w:pPr>
      <w:r w:rsidRPr="00072961">
        <w:rPr>
          <w:rFonts w:eastAsia="Cambria"/>
          <w:b/>
          <w:sz w:val="28"/>
          <w:szCs w:val="28"/>
        </w:rPr>
        <w:t xml:space="preserve">Independent assurance and advice </w:t>
      </w:r>
    </w:p>
    <w:p w14:paraId="64867793" w14:textId="77777777" w:rsidR="00771EF0" w:rsidRDefault="00771EF0" w:rsidP="001A7E9D">
      <w:pPr>
        <w:ind w:left="-142"/>
        <w:rPr>
          <w:rFonts w:eastAsia="Cambria"/>
        </w:rPr>
      </w:pPr>
      <w:r>
        <w:rPr>
          <w:rFonts w:eastAsia="Cambria"/>
        </w:rPr>
        <w:t>The Office of the IGEM plans, develops and conducts a range of assurance activities.</w:t>
      </w:r>
    </w:p>
    <w:p w14:paraId="15A61BDF" w14:textId="5BDA6F2A" w:rsidR="00771EF0" w:rsidRPr="00515807" w:rsidRDefault="00771EF0" w:rsidP="001A7E9D">
      <w:pPr>
        <w:ind w:left="-142"/>
        <w:rPr>
          <w:rFonts w:eastAsia="Cambria"/>
        </w:rPr>
      </w:pPr>
      <w:r>
        <w:rPr>
          <w:rFonts w:eastAsia="Cambria"/>
        </w:rPr>
        <w:t xml:space="preserve">These activities are informed by the Framework </w:t>
      </w:r>
      <w:r w:rsidR="00072961">
        <w:rPr>
          <w:rFonts w:eastAsia="Cambria"/>
        </w:rPr>
        <w:t>that</w:t>
      </w:r>
      <w:r>
        <w:rPr>
          <w:rFonts w:eastAsia="Cambria"/>
        </w:rPr>
        <w:t xml:space="preserve"> provides for three tiers of assurance. </w:t>
      </w:r>
    </w:p>
    <w:p w14:paraId="2087E8D8" w14:textId="2CDB950A" w:rsidR="00771EF0" w:rsidRDefault="00771EF0" w:rsidP="001A7E9D">
      <w:pPr>
        <w:ind w:left="-142"/>
        <w:rPr>
          <w:rFonts w:eastAsia="Cambria"/>
        </w:rPr>
      </w:pPr>
      <w:r>
        <w:rPr>
          <w:rFonts w:eastAsia="Cambria"/>
        </w:rPr>
        <w:t>Tier three a</w:t>
      </w:r>
      <w:r w:rsidRPr="00515807">
        <w:rPr>
          <w:rFonts w:eastAsia="Cambria"/>
        </w:rPr>
        <w:t xml:space="preserve">ssurance activities </w:t>
      </w:r>
      <w:r>
        <w:rPr>
          <w:rFonts w:eastAsia="Cambria"/>
        </w:rPr>
        <w:t xml:space="preserve">are independent enquiries </w:t>
      </w:r>
      <w:r w:rsidRPr="00515807">
        <w:rPr>
          <w:rFonts w:eastAsia="Cambria"/>
        </w:rPr>
        <w:t>under</w:t>
      </w:r>
      <w:r>
        <w:rPr>
          <w:rFonts w:eastAsia="Cambria"/>
        </w:rPr>
        <w:t xml:space="preserve">taken by the Office of the IGEM and </w:t>
      </w:r>
      <w:r w:rsidRPr="00515807">
        <w:rPr>
          <w:rFonts w:eastAsia="Cambria"/>
        </w:rPr>
        <w:t xml:space="preserve">include a program of strategic reviews. </w:t>
      </w:r>
      <w:r>
        <w:rPr>
          <w:rFonts w:eastAsia="Cambria"/>
        </w:rPr>
        <w:t xml:space="preserve">For further information on the 2016-17 program of reviews </w:t>
      </w:r>
      <w:r w:rsidR="006006F2">
        <w:rPr>
          <w:rFonts w:eastAsia="Cambria"/>
        </w:rPr>
        <w:t>(</w:t>
      </w:r>
      <w:r>
        <w:rPr>
          <w:rFonts w:eastAsia="Cambria"/>
        </w:rPr>
        <w:t xml:space="preserve">refer pages </w:t>
      </w:r>
      <w:r w:rsidR="00D47F14">
        <w:rPr>
          <w:rFonts w:eastAsia="Cambria"/>
        </w:rPr>
        <w:t>23-24</w:t>
      </w:r>
      <w:r w:rsidR="006006F2">
        <w:rPr>
          <w:rFonts w:eastAsia="Cambria"/>
        </w:rPr>
        <w:t>)</w:t>
      </w:r>
      <w:r w:rsidR="00D47F14">
        <w:rPr>
          <w:rFonts w:eastAsia="Cambria"/>
        </w:rPr>
        <w:t>.</w:t>
      </w:r>
      <w:r>
        <w:rPr>
          <w:rFonts w:eastAsia="Cambria"/>
        </w:rPr>
        <w:t xml:space="preserve"> </w:t>
      </w:r>
    </w:p>
    <w:p w14:paraId="26FFF70F" w14:textId="77777777" w:rsidR="006266C6" w:rsidRPr="009C4949" w:rsidRDefault="006266C6" w:rsidP="00207679">
      <w:pPr>
        <w:pStyle w:val="ListParagraph"/>
        <w:ind w:left="482"/>
        <w:contextualSpacing w:val="0"/>
        <w:rPr>
          <w:color w:val="AB054C"/>
        </w:rPr>
      </w:pPr>
    </w:p>
    <w:p w14:paraId="44B5CDB2" w14:textId="77777777" w:rsidR="009C4949" w:rsidRPr="008B7FD9" w:rsidRDefault="009C4949" w:rsidP="00207679">
      <w:pPr>
        <w:pStyle w:val="ListParagraph"/>
        <w:ind w:left="482"/>
        <w:contextualSpacing w:val="0"/>
        <w:rPr>
          <w:color w:val="AB054C"/>
        </w:rPr>
      </w:pPr>
    </w:p>
    <w:p w14:paraId="3F9251D8" w14:textId="77777777" w:rsidR="00AB2417" w:rsidRDefault="00AB2417">
      <w:pPr>
        <w:rPr>
          <w:rFonts w:eastAsia="Calibri"/>
          <w:b/>
          <w:sz w:val="28"/>
          <w:szCs w:val="28"/>
        </w:rPr>
      </w:pPr>
      <w:r>
        <w:rPr>
          <w:rFonts w:eastAsia="Calibri"/>
          <w:b/>
          <w:sz w:val="28"/>
          <w:szCs w:val="28"/>
        </w:rPr>
        <w:br w:type="page"/>
      </w:r>
    </w:p>
    <w:p w14:paraId="4EFE7CE5" w14:textId="0764C2D0"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lastRenderedPageBreak/>
        <w:t>Assurance and Excellence Development Program</w:t>
      </w:r>
    </w:p>
    <w:p w14:paraId="140A486B" w14:textId="223C2278" w:rsidR="00771EF0" w:rsidRPr="00515807" w:rsidRDefault="007056CF" w:rsidP="001A7E9D">
      <w:pPr>
        <w:ind w:left="-142"/>
        <w:rPr>
          <w:rFonts w:eastAsia="Cambria"/>
        </w:rPr>
      </w:pPr>
      <w:r>
        <w:rPr>
          <w:rFonts w:eastAsia="Cambria"/>
        </w:rPr>
        <w:t xml:space="preserve">The AEDP </w:t>
      </w:r>
      <w:r w:rsidR="00771EF0">
        <w:rPr>
          <w:rFonts w:eastAsia="Cambria"/>
        </w:rPr>
        <w:t xml:space="preserve">supports </w:t>
      </w:r>
      <w:r w:rsidR="00771EF0" w:rsidRPr="00515807">
        <w:rPr>
          <w:rFonts w:eastAsia="Cambria"/>
        </w:rPr>
        <w:t xml:space="preserve">the Office </w:t>
      </w:r>
      <w:r w:rsidR="00771EF0">
        <w:rPr>
          <w:rFonts w:eastAsia="Cambria"/>
        </w:rPr>
        <w:t xml:space="preserve">of the IGEM in the delivery of </w:t>
      </w:r>
      <w:r w:rsidR="00771EF0" w:rsidRPr="00515807">
        <w:rPr>
          <w:rFonts w:eastAsia="Cambria"/>
        </w:rPr>
        <w:t>its strategic objectives.</w:t>
      </w:r>
      <w:r w:rsidR="00771EF0">
        <w:rPr>
          <w:rFonts w:eastAsia="Cambria"/>
        </w:rPr>
        <w:t xml:space="preserve"> </w:t>
      </w:r>
    </w:p>
    <w:p w14:paraId="6988EFF5" w14:textId="65E79338" w:rsidR="00771EF0" w:rsidRDefault="00771EF0" w:rsidP="001A7E9D">
      <w:pPr>
        <w:ind w:left="-142"/>
        <w:rPr>
          <w:rFonts w:eastAsia="Cambria"/>
        </w:rPr>
      </w:pPr>
      <w:r>
        <w:rPr>
          <w:rFonts w:eastAsia="Cambria"/>
        </w:rPr>
        <w:t>The AEDP provides</w:t>
      </w:r>
      <w:r w:rsidR="00AB2417">
        <w:rPr>
          <w:rFonts w:eastAsia="Cambria"/>
        </w:rPr>
        <w:t xml:space="preserve"> </w:t>
      </w:r>
      <w:r>
        <w:rPr>
          <w:rFonts w:eastAsia="Cambria"/>
        </w:rPr>
        <w:t xml:space="preserve">Office of the IGEM staff with guidance on how to undertake a range of assurance activities. It covers topics such as roles and responsibilities, working with information, environmental scanning, analysis and enquiry. </w:t>
      </w:r>
    </w:p>
    <w:p w14:paraId="456A87F5" w14:textId="0007B9F1" w:rsidR="00771EF0" w:rsidRPr="00515807" w:rsidRDefault="00771EF0" w:rsidP="001A7E9D">
      <w:pPr>
        <w:ind w:left="-142"/>
        <w:rPr>
          <w:rFonts w:eastAsia="Cambria"/>
        </w:rPr>
      </w:pPr>
      <w:r>
        <w:rPr>
          <w:rFonts w:eastAsia="Cambria"/>
        </w:rPr>
        <w:t xml:space="preserve">It is based on the premise that Office of the IGEM will </w:t>
      </w:r>
      <w:r w:rsidRPr="00515807">
        <w:rPr>
          <w:rFonts w:eastAsia="Cambria"/>
        </w:rPr>
        <w:t xml:space="preserve">address issues locally and with the least amount of formality where possible. </w:t>
      </w:r>
    </w:p>
    <w:p w14:paraId="22EEA8CF" w14:textId="3B7C58D3" w:rsidR="00771EF0" w:rsidRPr="00515807" w:rsidRDefault="00771EF0" w:rsidP="00FF2525">
      <w:pPr>
        <w:ind w:left="-142"/>
        <w:rPr>
          <w:rFonts w:eastAsia="Cambria"/>
        </w:rPr>
      </w:pPr>
      <w:r w:rsidRPr="00515807">
        <w:rPr>
          <w:rFonts w:eastAsia="Cambria"/>
        </w:rPr>
        <w:t>During 201</w:t>
      </w:r>
      <w:r>
        <w:rPr>
          <w:rFonts w:eastAsia="Cambria"/>
        </w:rPr>
        <w:t>6</w:t>
      </w:r>
      <w:r w:rsidRPr="00515807">
        <w:rPr>
          <w:rFonts w:eastAsia="Cambria"/>
        </w:rPr>
        <w:t>-1</w:t>
      </w:r>
      <w:r>
        <w:rPr>
          <w:rFonts w:eastAsia="Cambria"/>
        </w:rPr>
        <w:t xml:space="preserve">7, Office of the IGEM staff continued to apply the AEDP to the delivery of assurance activities to discern a level of confidence in Queensland’s emergency management arrangements. </w:t>
      </w:r>
    </w:p>
    <w:p w14:paraId="38CEC8C5" w14:textId="77777777" w:rsidR="00771EF0" w:rsidRPr="00405778" w:rsidRDefault="00771EF0" w:rsidP="00913AA5">
      <w:pPr>
        <w:spacing w:before="240"/>
        <w:ind w:left="-142"/>
        <w:rPr>
          <w:rFonts w:eastAsia="Cambria"/>
          <w:b/>
          <w:sz w:val="28"/>
          <w:szCs w:val="28"/>
        </w:rPr>
      </w:pPr>
      <w:r w:rsidRPr="00405778">
        <w:rPr>
          <w:rFonts w:eastAsia="Cambria"/>
          <w:b/>
          <w:sz w:val="28"/>
          <w:szCs w:val="28"/>
        </w:rPr>
        <w:t>Disaster management plans</w:t>
      </w:r>
    </w:p>
    <w:p w14:paraId="6FF8F08D" w14:textId="77777777" w:rsidR="00771EF0" w:rsidRDefault="00771EF0" w:rsidP="001A7E9D">
      <w:pPr>
        <w:tabs>
          <w:tab w:val="left" w:pos="567"/>
          <w:tab w:val="left" w:pos="1107"/>
        </w:tabs>
        <w:ind w:left="-142"/>
        <w:rPr>
          <w:rFonts w:eastAsia="Cambria"/>
        </w:rPr>
      </w:pPr>
      <w:r>
        <w:rPr>
          <w:rFonts w:eastAsia="Cambria"/>
        </w:rPr>
        <w:t>The</w:t>
      </w:r>
      <w:r w:rsidRPr="00515807">
        <w:rPr>
          <w:rFonts w:eastAsia="Cambria"/>
        </w:rPr>
        <w:t xml:space="preserve"> </w:t>
      </w:r>
      <w:r w:rsidRPr="00515807">
        <w:rPr>
          <w:rFonts w:eastAsia="Cambria"/>
          <w:i/>
        </w:rPr>
        <w:t>Disaster Management Act 2003</w:t>
      </w:r>
      <w:r>
        <w:rPr>
          <w:rFonts w:eastAsia="Cambria"/>
        </w:rPr>
        <w:t xml:space="preserve"> </w:t>
      </w:r>
      <w:r w:rsidRPr="00515807">
        <w:rPr>
          <w:rFonts w:eastAsia="Cambria"/>
        </w:rPr>
        <w:t>require</w:t>
      </w:r>
      <w:r>
        <w:rPr>
          <w:rFonts w:eastAsia="Cambria"/>
        </w:rPr>
        <w:t xml:space="preserve">s local government and district disaster management groups to annually review the effectiveness of their disaster management plans, and the Office of the IGEM to regularly review all plans. </w:t>
      </w:r>
    </w:p>
    <w:p w14:paraId="3C3139E6" w14:textId="07891D61" w:rsidR="00771EF0" w:rsidRPr="00515807" w:rsidRDefault="00771EF0" w:rsidP="001A7E9D">
      <w:pPr>
        <w:tabs>
          <w:tab w:val="left" w:pos="567"/>
          <w:tab w:val="left" w:pos="1107"/>
        </w:tabs>
        <w:ind w:left="-142"/>
        <w:rPr>
          <w:rFonts w:eastAsia="Cambria"/>
        </w:rPr>
      </w:pPr>
      <w:r>
        <w:rPr>
          <w:rFonts w:eastAsia="Cambria"/>
        </w:rPr>
        <w:t>T</w:t>
      </w:r>
      <w:r w:rsidRPr="00515807">
        <w:rPr>
          <w:rFonts w:eastAsia="Cambria"/>
        </w:rPr>
        <w:t xml:space="preserve">he Office of the IGEM </w:t>
      </w:r>
      <w:r>
        <w:rPr>
          <w:rFonts w:eastAsia="Cambria"/>
        </w:rPr>
        <w:t>provides</w:t>
      </w:r>
      <w:r w:rsidRPr="00515807">
        <w:rPr>
          <w:rFonts w:eastAsia="Cambria"/>
        </w:rPr>
        <w:t xml:space="preserve"> </w:t>
      </w:r>
      <w:r>
        <w:rPr>
          <w:rFonts w:eastAsia="Cambria"/>
        </w:rPr>
        <w:t>an online process to enable entities to c</w:t>
      </w:r>
      <w:r w:rsidRPr="00515807">
        <w:rPr>
          <w:rFonts w:eastAsia="Cambria"/>
        </w:rPr>
        <w:t xml:space="preserve">onduct an annual assessment of </w:t>
      </w:r>
      <w:r>
        <w:rPr>
          <w:rFonts w:eastAsia="Cambria"/>
        </w:rPr>
        <w:t>their plans against the Standard.</w:t>
      </w:r>
      <w:r w:rsidRPr="00515807">
        <w:rPr>
          <w:rFonts w:eastAsia="Cambria"/>
        </w:rPr>
        <w:t xml:space="preserve"> </w:t>
      </w:r>
    </w:p>
    <w:p w14:paraId="4786FCF4" w14:textId="47536BA9" w:rsidR="00771EF0" w:rsidRDefault="00771EF0" w:rsidP="001A7E9D">
      <w:pPr>
        <w:tabs>
          <w:tab w:val="left" w:pos="567"/>
          <w:tab w:val="left" w:pos="1107"/>
        </w:tabs>
        <w:ind w:left="-142"/>
        <w:rPr>
          <w:rFonts w:eastAsia="Cambria"/>
        </w:rPr>
      </w:pPr>
      <w:r>
        <w:rPr>
          <w:rFonts w:eastAsia="Cambria"/>
        </w:rPr>
        <w:t>In 2016, the process was enhanced to include a health check of disaster management capability through the application of the Emergency Management Prioritisation Tool (refer page</w:t>
      </w:r>
      <w:r w:rsidR="00D47F14">
        <w:rPr>
          <w:rFonts w:eastAsia="Cambria"/>
        </w:rPr>
        <w:t xml:space="preserve"> 24)</w:t>
      </w:r>
      <w:r>
        <w:rPr>
          <w:rFonts w:eastAsia="Cambria"/>
        </w:rPr>
        <w:t xml:space="preserve">. </w:t>
      </w:r>
    </w:p>
    <w:p w14:paraId="20A2F2A9" w14:textId="151600A7" w:rsidR="00771EF0" w:rsidRDefault="00771EF0" w:rsidP="00FF2525">
      <w:pPr>
        <w:tabs>
          <w:tab w:val="left" w:pos="567"/>
          <w:tab w:val="left" w:pos="1107"/>
        </w:tabs>
        <w:ind w:left="-142"/>
        <w:rPr>
          <w:rFonts w:eastAsia="Cambria"/>
        </w:rPr>
      </w:pPr>
      <w:r>
        <w:rPr>
          <w:rFonts w:eastAsia="Cambria"/>
        </w:rPr>
        <w:t>Assessment results were provided to local governments during August to October 2016. This assessmen</w:t>
      </w:r>
      <w:r w:rsidR="00AB2417">
        <w:rPr>
          <w:rFonts w:eastAsia="Cambria"/>
        </w:rPr>
        <w:t>t showed that overall, plans were</w:t>
      </w:r>
      <w:r>
        <w:rPr>
          <w:rFonts w:eastAsia="Cambria"/>
        </w:rPr>
        <w:t xml:space="preserve"> ‘well-placed’ across all six areas of Shared Responsibility of the Standard. </w:t>
      </w:r>
    </w:p>
    <w:p w14:paraId="264404F4" w14:textId="77777777"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t>Evaluation of the Far North Disaster District trial</w:t>
      </w:r>
    </w:p>
    <w:p w14:paraId="1A7ECA07" w14:textId="77777777" w:rsidR="00771EF0" w:rsidRDefault="00771EF0" w:rsidP="001A7E9D">
      <w:pPr>
        <w:ind w:left="-142"/>
        <w:rPr>
          <w:rFonts w:eastAsia="Cambria"/>
        </w:rPr>
      </w:pPr>
      <w:r w:rsidRPr="00515807">
        <w:rPr>
          <w:rFonts w:eastAsia="Cambria"/>
        </w:rPr>
        <w:t xml:space="preserve">In October 2015, the Office of the IGEM commenced an </w:t>
      </w:r>
      <w:r>
        <w:rPr>
          <w:rFonts w:eastAsia="Cambria"/>
        </w:rPr>
        <w:t xml:space="preserve">independent </w:t>
      </w:r>
      <w:r w:rsidRPr="00515807">
        <w:rPr>
          <w:rFonts w:eastAsia="Cambria"/>
        </w:rPr>
        <w:t xml:space="preserve">evaluation of the </w:t>
      </w:r>
      <w:r>
        <w:rPr>
          <w:rFonts w:eastAsia="Cambria"/>
        </w:rPr>
        <w:t xml:space="preserve">trial merger of the </w:t>
      </w:r>
      <w:r w:rsidRPr="00515807">
        <w:rPr>
          <w:rFonts w:eastAsia="Cambria"/>
        </w:rPr>
        <w:t>Cairn</w:t>
      </w:r>
      <w:r>
        <w:rPr>
          <w:rFonts w:eastAsia="Cambria"/>
        </w:rPr>
        <w:t xml:space="preserve">s and Mareeba Disaster Districts, later known as the Far North Disaster District. </w:t>
      </w:r>
    </w:p>
    <w:p w14:paraId="0D1929AA" w14:textId="77777777" w:rsidR="00771EF0" w:rsidRPr="00515807" w:rsidRDefault="00771EF0" w:rsidP="001A7E9D">
      <w:pPr>
        <w:ind w:left="-142"/>
        <w:rPr>
          <w:rFonts w:eastAsia="Cambria"/>
        </w:rPr>
      </w:pPr>
      <w:r w:rsidRPr="00515807">
        <w:rPr>
          <w:rFonts w:eastAsia="Cambria"/>
        </w:rPr>
        <w:t>The trial merge</w:t>
      </w:r>
      <w:r>
        <w:rPr>
          <w:rFonts w:eastAsia="Cambria"/>
        </w:rPr>
        <w:t>r</w:t>
      </w:r>
      <w:r w:rsidRPr="00515807">
        <w:rPr>
          <w:rFonts w:eastAsia="Cambria"/>
        </w:rPr>
        <w:t xml:space="preserve"> was designed to improve service delivery to local governments. </w:t>
      </w:r>
    </w:p>
    <w:p w14:paraId="19601E4D" w14:textId="77777777" w:rsidR="00771EF0" w:rsidRDefault="00771EF0" w:rsidP="001A7E9D">
      <w:pPr>
        <w:ind w:left="-142"/>
        <w:rPr>
          <w:rFonts w:eastAsia="Cambria"/>
        </w:rPr>
      </w:pPr>
      <w:r>
        <w:rPr>
          <w:rFonts w:eastAsia="Cambria"/>
        </w:rPr>
        <w:t xml:space="preserve">The evaluation included an analysis of documents, surveys, interviews and visits to district group meetings and an exercise. </w:t>
      </w:r>
    </w:p>
    <w:p w14:paraId="177724A6" w14:textId="77777777" w:rsidR="00771EF0" w:rsidRDefault="00771EF0" w:rsidP="001A7E9D">
      <w:pPr>
        <w:ind w:left="-142"/>
        <w:rPr>
          <w:rFonts w:eastAsia="Cambria"/>
        </w:rPr>
      </w:pPr>
      <w:r>
        <w:rPr>
          <w:rFonts w:eastAsia="Cambria"/>
        </w:rPr>
        <w:t>An interim report was provided to stakeholders in October 2016 prior to the start of the summer wet season. This report found that there were signs that the trial group was more effective than having separate district disaster management groups, but noted that the new arrangements were yet to be fully tested.</w:t>
      </w:r>
    </w:p>
    <w:p w14:paraId="50C5C261" w14:textId="77777777" w:rsidR="00771EF0" w:rsidRDefault="00771EF0" w:rsidP="001A7E9D">
      <w:pPr>
        <w:ind w:left="-142"/>
        <w:rPr>
          <w:rFonts w:eastAsia="Cambria"/>
        </w:rPr>
      </w:pPr>
      <w:r>
        <w:rPr>
          <w:rFonts w:eastAsia="Cambria"/>
        </w:rPr>
        <w:t xml:space="preserve">In April 2017, the trial merger was extended for a further year to April 2018. </w:t>
      </w:r>
    </w:p>
    <w:p w14:paraId="69DC4503" w14:textId="77777777" w:rsidR="008B495B" w:rsidRPr="00FF2525" w:rsidRDefault="008B495B" w:rsidP="00913AA5">
      <w:pPr>
        <w:spacing w:before="240"/>
        <w:ind w:left="-142"/>
        <w:rPr>
          <w:rFonts w:ascii="Calibri" w:hAnsi="Calibri"/>
          <w:b/>
          <w:sz w:val="28"/>
          <w:szCs w:val="28"/>
        </w:rPr>
      </w:pPr>
      <w:r w:rsidRPr="00FF2525">
        <w:rPr>
          <w:b/>
          <w:sz w:val="28"/>
          <w:szCs w:val="28"/>
        </w:rPr>
        <w:t xml:space="preserve">Meta-analysis of disaster management exercises </w:t>
      </w:r>
    </w:p>
    <w:p w14:paraId="246074E5" w14:textId="77777777" w:rsidR="008B495B" w:rsidRDefault="008B495B" w:rsidP="008B495B">
      <w:pPr>
        <w:ind w:left="-142"/>
      </w:pPr>
      <w:r>
        <w:t xml:space="preserve">In September 2016, the Office of the IGEM released a discussion paper on its review of documentation relating to 152 disaster management exercises conducted between 2010 and 2015. </w:t>
      </w:r>
    </w:p>
    <w:p w14:paraId="4EB02A8A" w14:textId="7D21510B" w:rsidR="008B495B" w:rsidRPr="00515807" w:rsidRDefault="008B495B" w:rsidP="008B495B">
      <w:pPr>
        <w:ind w:left="-142"/>
        <w:rPr>
          <w:rFonts w:eastAsia="Cambria"/>
        </w:rPr>
      </w:pPr>
      <w:r>
        <w:t xml:space="preserve">The discussion paper is available at </w:t>
      </w:r>
      <w:hyperlink r:id="rId62" w:history="1">
        <w:r>
          <w:rPr>
            <w:rStyle w:val="Hyperlink"/>
          </w:rPr>
          <w:t>https://www.igem.qld.gov.au/reports-and-publications/Documents/Meta%20Analysis%20Dicussion%20Paper.pdf</w:t>
        </w:r>
      </w:hyperlink>
      <w:r>
        <w:t>.</w:t>
      </w:r>
    </w:p>
    <w:p w14:paraId="2AE3134E" w14:textId="77777777" w:rsidR="00D4140B" w:rsidRDefault="00D4140B">
      <w:pPr>
        <w:rPr>
          <w:rFonts w:eastAsia="Calibri"/>
          <w:highlight w:val="yellow"/>
        </w:rPr>
      </w:pPr>
      <w:r>
        <w:rPr>
          <w:rFonts w:eastAsia="Calibri"/>
          <w:highlight w:val="yellow"/>
        </w:rPr>
        <w:br w:type="page"/>
      </w:r>
    </w:p>
    <w:p w14:paraId="4E8C6B4D" w14:textId="70A95306" w:rsidR="00771EF0" w:rsidRPr="00515807" w:rsidRDefault="00126F4C" w:rsidP="00577601">
      <w:pPr>
        <w:rPr>
          <w:rFonts w:eastAsia="Calibri"/>
          <w:highlight w:val="yellow"/>
        </w:rPr>
      </w:pPr>
      <w:r>
        <w:rPr>
          <w:rFonts w:eastAsia="Calibri"/>
          <w:noProof/>
          <w:szCs w:val="22"/>
          <w:lang w:val="en-AU" w:eastAsia="en-AU"/>
        </w:rPr>
        <w:lastRenderedPageBreak/>
        <mc:AlternateContent>
          <mc:Choice Requires="wpg">
            <w:drawing>
              <wp:anchor distT="0" distB="0" distL="114300" distR="114300" simplePos="0" relativeHeight="251658240" behindDoc="0" locked="0" layoutInCell="1" allowOverlap="1" wp14:anchorId="584FDB4A" wp14:editId="55FE484F">
                <wp:simplePos x="0" y="0"/>
                <wp:positionH relativeFrom="column">
                  <wp:posOffset>-81915</wp:posOffset>
                </wp:positionH>
                <wp:positionV relativeFrom="paragraph">
                  <wp:posOffset>65405</wp:posOffset>
                </wp:positionV>
                <wp:extent cx="6479540" cy="2552700"/>
                <wp:effectExtent l="19050" t="19050" r="16510" b="19050"/>
                <wp:wrapNone/>
                <wp:docPr id="228" name="Group 228"/>
                <wp:cNvGraphicFramePr/>
                <a:graphic xmlns:a="http://schemas.openxmlformats.org/drawingml/2006/main">
                  <a:graphicData uri="http://schemas.microsoft.com/office/word/2010/wordprocessingGroup">
                    <wpg:wgp>
                      <wpg:cNvGrpSpPr/>
                      <wpg:grpSpPr>
                        <a:xfrm>
                          <a:off x="0" y="0"/>
                          <a:ext cx="6479540" cy="2552700"/>
                          <a:chOff x="-9525" y="0"/>
                          <a:chExt cx="6479540" cy="2857500"/>
                        </a:xfrm>
                      </wpg:grpSpPr>
                      <wps:wsp>
                        <wps:cNvPr id="237" name="Rounded Rectangle 237"/>
                        <wps:cNvSpPr/>
                        <wps:spPr>
                          <a:xfrm>
                            <a:off x="-9525" y="0"/>
                            <a:ext cx="6479540" cy="2857500"/>
                          </a:xfrm>
                          <a:prstGeom prst="roundRect">
                            <a:avLst/>
                          </a:prstGeom>
                          <a:solidFill>
                            <a:srgbClr val="AB054C">
                              <a:alpha val="98000"/>
                            </a:srgbClr>
                          </a:solidFill>
                          <a:ln w="28575" cap="flat" cmpd="sng" algn="ctr">
                            <a:solidFill>
                              <a:srgbClr val="8A002E"/>
                            </a:solidFill>
                            <a:prstDash val="solid"/>
                          </a:ln>
                          <a:effectLst/>
                        </wps:spPr>
                        <wps:txbx>
                          <w:txbxContent>
                            <w:p w14:paraId="253ACC54" w14:textId="77777777" w:rsidR="00CE542E" w:rsidRPr="00F11267" w:rsidRDefault="00CE542E" w:rsidP="000F164D">
                              <w:pPr>
                                <w:pStyle w:val="Heading4"/>
                                <w:rPr>
                                  <w:rFonts w:ascii="Arial" w:hAnsi="Arial" w:cs="Arial"/>
                                </w:rPr>
                              </w:pPr>
                              <w:bookmarkStart w:id="127" w:name="_Toc459712713"/>
                              <w:bookmarkStart w:id="128" w:name="_Toc460404385"/>
                              <w:r>
                                <w:rPr>
                                  <w:rFonts w:ascii="Arial" w:hAnsi="Arial" w:cs="Arial"/>
                                </w:rPr>
                                <w:t>Objective Two</w:t>
                              </w:r>
                              <w:bookmarkEnd w:id="127"/>
                              <w:bookmarkEnd w:id="128"/>
                            </w:p>
                          </w:txbxContent>
                        </wps:txbx>
                        <wps:bodyPr rot="0" spcFirstLastPara="0" vertOverflow="overflow" horzOverflow="overflow" vert="horz" wrap="square" lIns="216000" tIns="0" rIns="91440" bIns="45720" numCol="1" spcCol="0" rtlCol="0" fromWordArt="0" anchor="t" anchorCtr="0" forceAA="0" compatLnSpc="1">
                          <a:prstTxWarp prst="textNoShape">
                            <a:avLst/>
                          </a:prstTxWarp>
                          <a:noAutofit/>
                        </wps:bodyPr>
                      </wps:wsp>
                      <wps:wsp>
                        <wps:cNvPr id="238" name="Rounded Rectangle 238"/>
                        <wps:cNvSpPr/>
                        <wps:spPr>
                          <a:xfrm>
                            <a:off x="152400" y="590550"/>
                            <a:ext cx="2051685" cy="2105025"/>
                          </a:xfrm>
                          <a:prstGeom prst="roundRect">
                            <a:avLst/>
                          </a:prstGeom>
                          <a:solidFill>
                            <a:srgbClr val="960443"/>
                          </a:solidFill>
                          <a:ln w="28575" cap="flat" cmpd="sng" algn="ctr">
                            <a:solidFill>
                              <a:schemeClr val="bg1">
                                <a:lumMod val="95000"/>
                              </a:schemeClr>
                            </a:solidFill>
                            <a:prstDash val="solid"/>
                          </a:ln>
                          <a:effectLst/>
                        </wps:spPr>
                        <wps:txbx>
                          <w:txbxContent>
                            <w:p w14:paraId="6EDEDAD4" w14:textId="77777777" w:rsidR="00CE542E" w:rsidRPr="00515807" w:rsidRDefault="00CE542E" w:rsidP="00771EF0">
                              <w:pPr>
                                <w:spacing w:after="0"/>
                                <w:contextualSpacing/>
                                <w:rPr>
                                  <w:rFonts w:eastAsia="Times New Roman"/>
                                  <w:color w:val="FFFFFF"/>
                                  <w:szCs w:val="24"/>
                                  <w:lang w:eastAsia="en-AU"/>
                                </w:rPr>
                              </w:pPr>
                              <w:r>
                                <w:rPr>
                                  <w:i/>
                                </w:rPr>
                                <w:t>A</w:t>
                              </w:r>
                              <w:r w:rsidRPr="004D56F3">
                                <w:rPr>
                                  <w:i/>
                                </w:rPr>
                                <w:t>uthoritative reporting enhance</w:t>
                              </w:r>
                              <w:r>
                                <w:rPr>
                                  <w:i/>
                                </w:rPr>
                                <w:t>s</w:t>
                              </w:r>
                              <w:r w:rsidRPr="004D56F3">
                                <w:rPr>
                                  <w:i/>
                                </w:rPr>
                                <w:t xml:space="preserve"> accountability and improve</w:t>
                              </w:r>
                              <w:r>
                                <w:rPr>
                                  <w:i/>
                                </w:rPr>
                                <w:t>d co</w:t>
                              </w:r>
                              <w:r w:rsidRPr="004D56F3">
                                <w:rPr>
                                  <w:i/>
                                </w:rPr>
                                <w:t>mmunity</w:t>
                              </w:r>
                              <w:r>
                                <w:rPr>
                                  <w:i/>
                                </w:rPr>
                                <w:t xml:space="preserve"> confidence and outcomes in emergency management</w:t>
                              </w:r>
                              <w:r w:rsidRPr="004D56F3">
                                <w:rPr>
                                  <w:i/>
                                </w:rPr>
                                <w:t>.</w:t>
                              </w:r>
                            </w:p>
                            <w:p w14:paraId="10FAD987" w14:textId="5C5974B3" w:rsidR="00CE542E" w:rsidRPr="00F11267" w:rsidRDefault="00CE542E" w:rsidP="000F164D">
                              <w:pPr>
                                <w:spacing w:before="0" w:after="0"/>
                                <w:contextualSpacing/>
                                <w:rPr>
                                  <w:rFonts w:eastAsia="Times New Roman"/>
                                  <w:color w:val="FFFFFF" w:themeColor="background1"/>
                                  <w:kern w:val="0"/>
                                  <w:szCs w:val="24"/>
                                  <w:lang w:val="en-AU"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s:wsp>
                        <wps:cNvPr id="239" name="Rounded Rectangle 239"/>
                        <wps:cNvSpPr/>
                        <wps:spPr>
                          <a:xfrm>
                            <a:off x="2419350" y="590550"/>
                            <a:ext cx="3881755" cy="2105025"/>
                          </a:xfrm>
                          <a:prstGeom prst="roundRect">
                            <a:avLst/>
                          </a:prstGeom>
                          <a:solidFill>
                            <a:srgbClr val="8A043D"/>
                          </a:solidFill>
                          <a:ln w="28575" cap="flat" cmpd="sng" algn="ctr">
                            <a:solidFill>
                              <a:schemeClr val="bg1"/>
                            </a:solidFill>
                            <a:prstDash val="solid"/>
                          </a:ln>
                          <a:effectLst/>
                        </wps:spPr>
                        <wps:txbx>
                          <w:txbxContent>
                            <w:p w14:paraId="069DD72F"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054CA0A" w14:textId="77777777" w:rsidR="00CE542E" w:rsidRPr="004D56F3" w:rsidRDefault="00CE542E" w:rsidP="00771EF0">
                              <w:pPr>
                                <w:pStyle w:val="1"/>
                                <w:numPr>
                                  <w:ilvl w:val="0"/>
                                  <w:numId w:val="17"/>
                                </w:numPr>
                                <w:spacing w:before="0" w:after="0"/>
                              </w:pPr>
                              <w:r>
                                <w:rPr>
                                  <w:rFonts w:eastAsia="+mn-ea"/>
                                  <w:color w:val="FFFFFF"/>
                                  <w:kern w:val="0"/>
                                  <w:szCs w:val="22"/>
                                  <w:lang w:eastAsia="en-AU"/>
                                </w:rPr>
                                <w:t>D</w:t>
                              </w:r>
                              <w:r w:rsidRPr="004D56F3">
                                <w:t xml:space="preserve">esign and </w:t>
                              </w:r>
                              <w:r>
                                <w:t>apply</w:t>
                              </w:r>
                              <w:r w:rsidRPr="004D56F3">
                                <w:t xml:space="preserve"> assurance activities, tools and processes that are valued by our stakeholders and enable </w:t>
                              </w:r>
                              <w:r>
                                <w:t>performance improvements</w:t>
                              </w:r>
                              <w:r w:rsidRPr="004D56F3">
                                <w:t>, evaluation and reporting.</w:t>
                              </w:r>
                            </w:p>
                            <w:p w14:paraId="7FD7C2A9" w14:textId="77777777" w:rsidR="00CE542E" w:rsidRPr="004D56F3" w:rsidRDefault="00CE542E" w:rsidP="00771EF0">
                              <w:pPr>
                                <w:pStyle w:val="1"/>
                                <w:numPr>
                                  <w:ilvl w:val="0"/>
                                  <w:numId w:val="17"/>
                                </w:numPr>
                                <w:spacing w:before="0" w:after="0"/>
                              </w:pPr>
                              <w:r w:rsidRPr="00515807">
                                <w:rPr>
                                  <w:rFonts w:eastAsia="+mn-ea"/>
                                  <w:color w:val="FFFFFF"/>
                                  <w:kern w:val="0"/>
                                  <w:szCs w:val="22"/>
                                  <w:lang w:eastAsia="en-AU"/>
                                </w:rPr>
                                <w:t>Undertake</w:t>
                              </w:r>
                              <w:r w:rsidRPr="004D56F3">
                                <w:t xml:space="preserve"> targeted reviews and system analysis that identify risks, gaps and prioritise improvements on the basis of community outcomes.</w:t>
                              </w:r>
                            </w:p>
                            <w:p w14:paraId="64961AED" w14:textId="04DF53C8" w:rsidR="00CE542E" w:rsidRPr="00161F25" w:rsidRDefault="00CE542E" w:rsidP="00771EF0">
                              <w:pPr>
                                <w:pStyle w:val="ListParagraph"/>
                                <w:spacing w:before="0" w:after="0"/>
                                <w:ind w:left="360"/>
                                <w:rPr>
                                  <w:color w:val="FFFFFF" w:themeColor="background1"/>
                                  <w:sz w:val="18"/>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84FDB4A" id="Group 228" o:spid="_x0000_s1030" style="position:absolute;margin-left:-6.45pt;margin-top:5.15pt;width:510.2pt;height:201pt;z-index:251658240;mso-height-relative:margin" coordorigin="-95" coordsize="6479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">
                <v:roundrect id="Rounded Rectangle 237" o:spid="_x0000_s1031" style="position:absolute;left:-95;width:64795;height:285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dZsQA&#10;AADcAAAADwAAAGRycy9kb3ducmV2LnhtbESPQWsCMRSE70L/Q3iF3jSrLa2sRpFCwYMFaxX09tg8&#10;N4ub95ZN1LW/vikUPA4z8w0znXe+VhdqQyVsYDjIQBEXYisuDWy/P/pjUCEiW6yFycCNAsxnD70p&#10;5lau/EWXTSxVgnDI0YCLscm1DoUjj2EgDXHyjtJ6jEm2pbYtXhPc13qUZa/aY8VpwWFD746K0+bs&#10;EwUP7keEi5d9I+u1W8Td6vRpzNNjt5iAitTFe/i/vbQGRs9v8HcmHQE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nWbEAAAA3AAAAA8AAAAAAAAAAAAAAAAAmAIAAGRycy9k&#10;b3ducmV2LnhtbFBLBQYAAAAABAAEAPUAAACJAwAAAAA=&#10;" fillcolor="#ab054c" strokecolor="#8a002e" strokeweight="2.25pt">
                  <v:fill opacity="64250f"/>
                  <v:textbox inset="6mm,0">
                    <w:txbxContent>
                      <w:p w14:paraId="253ACC54" w14:textId="77777777" w:rsidR="00CE542E" w:rsidRPr="00F11267" w:rsidRDefault="00CE542E" w:rsidP="000F164D">
                        <w:pPr>
                          <w:pStyle w:val="Heading4"/>
                          <w:rPr>
                            <w:rFonts w:ascii="Arial" w:hAnsi="Arial" w:cs="Arial"/>
                          </w:rPr>
                        </w:pPr>
                        <w:bookmarkStart w:id="131" w:name="_Toc459712713"/>
                        <w:bookmarkStart w:id="132" w:name="_Toc460404385"/>
                        <w:r>
                          <w:rPr>
                            <w:rFonts w:ascii="Arial" w:hAnsi="Arial" w:cs="Arial"/>
                          </w:rPr>
                          <w:t>Objective Two</w:t>
                        </w:r>
                        <w:bookmarkEnd w:id="131"/>
                        <w:bookmarkEnd w:id="132"/>
                      </w:p>
                    </w:txbxContent>
                  </v:textbox>
                </v:roundrect>
                <v:roundrect id="Rounded Rectangle 238" o:spid="_x0000_s1032" style="position:absolute;left:1524;top:5905;width:20516;height:2105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qKr4A&#10;AADcAAAADwAAAGRycy9kb3ducmV2LnhtbERPuwrCMBTdBf8hXMFNUxVFqlFE8DHoYBVdL821LTY3&#10;pYla/94MguPhvOfLxpTiRbUrLCsY9CMQxKnVBWcKLudNbwrCeWSNpWVS8CEHy0W7NcdY2zef6JX4&#10;TIQQdjEqyL2vYildmpNB17cVceDutjboA6wzqWt8h3BTymEUTaTBgkNDjhWtc0ofydMowPuOtmZ8&#10;GCd6+rDH2+n6WT+vSnU7zWoGwlPj/+Kfe68VDE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nGKiq+AAAA3AAAAA8AAAAAAAAAAAAAAAAAmAIAAGRycy9kb3ducmV2&#10;LnhtbFBLBQYAAAAABAAEAPUAAACDAwAAAAA=&#10;" fillcolor="#960443" strokecolor="#f2f2f2 [3052]" strokeweight="2.25pt">
                  <v:textbox inset=",1mm,,1mm">
                    <w:txbxContent>
                      <w:p w14:paraId="6EDEDAD4" w14:textId="77777777" w:rsidR="00CE542E" w:rsidRPr="00515807" w:rsidRDefault="00CE542E" w:rsidP="00771EF0">
                        <w:pPr>
                          <w:spacing w:after="0"/>
                          <w:contextualSpacing/>
                          <w:rPr>
                            <w:rFonts w:eastAsia="Times New Roman"/>
                            <w:color w:val="FFFFFF"/>
                            <w:szCs w:val="24"/>
                            <w:lang w:eastAsia="en-AU"/>
                          </w:rPr>
                        </w:pPr>
                        <w:r>
                          <w:rPr>
                            <w:i/>
                          </w:rPr>
                          <w:t>A</w:t>
                        </w:r>
                        <w:r w:rsidRPr="004D56F3">
                          <w:rPr>
                            <w:i/>
                          </w:rPr>
                          <w:t>uthoritative reporting enhance</w:t>
                        </w:r>
                        <w:r>
                          <w:rPr>
                            <w:i/>
                          </w:rPr>
                          <w:t>s</w:t>
                        </w:r>
                        <w:r w:rsidRPr="004D56F3">
                          <w:rPr>
                            <w:i/>
                          </w:rPr>
                          <w:t xml:space="preserve"> accountability and improve</w:t>
                        </w:r>
                        <w:r>
                          <w:rPr>
                            <w:i/>
                          </w:rPr>
                          <w:t>d co</w:t>
                        </w:r>
                        <w:r w:rsidRPr="004D56F3">
                          <w:rPr>
                            <w:i/>
                          </w:rPr>
                          <w:t>mmunity</w:t>
                        </w:r>
                        <w:r>
                          <w:rPr>
                            <w:i/>
                          </w:rPr>
                          <w:t xml:space="preserve"> confidence and outcomes in emergency management</w:t>
                        </w:r>
                        <w:r w:rsidRPr="004D56F3">
                          <w:rPr>
                            <w:i/>
                          </w:rPr>
                          <w:t>.</w:t>
                        </w:r>
                      </w:p>
                      <w:p w14:paraId="10FAD987" w14:textId="5C5974B3" w:rsidR="00CE542E" w:rsidRPr="00F11267" w:rsidRDefault="00CE542E" w:rsidP="000F164D">
                        <w:pPr>
                          <w:spacing w:before="0" w:after="0"/>
                          <w:contextualSpacing/>
                          <w:rPr>
                            <w:rFonts w:eastAsia="Times New Roman"/>
                            <w:color w:val="FFFFFF" w:themeColor="background1"/>
                            <w:kern w:val="0"/>
                            <w:szCs w:val="24"/>
                            <w:lang w:val="en-AU" w:eastAsia="en-AU"/>
                          </w:rPr>
                        </w:pPr>
                      </w:p>
                    </w:txbxContent>
                  </v:textbox>
                </v:roundrect>
                <v:roundrect id="Rounded Rectangle 239" o:spid="_x0000_s1033" style="position:absolute;left:24193;top:5905;width:38818;height:2105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l7MUA&#10;AADcAAAADwAAAGRycy9kb3ducmV2LnhtbESPT2vCQBTE7wW/w/KE3upGhVKjq/gHS0+FJoIeH9ln&#10;Es2+Dburif303UKhx2FmfsMsVr1pxJ2cry0rGI8SEMSF1TWXCg75/uUNhA/IGhvLpOBBHlbLwdMC&#10;U207/qJ7FkoRIexTVFCF0KZS+qIig35kW+Lona0zGKJ0pdQOuwg3jZwkyas0WHNcqLClbUXFNbsZ&#10;BbuNe5zeL8eDy/iY5dcud9+fF6Weh/16DiJQH/7Df+0PrWAyncH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WXsxQAAANwAAAAPAAAAAAAAAAAAAAAAAJgCAABkcnMv&#10;ZG93bnJldi54bWxQSwUGAAAAAAQABAD1AAAAigMAAAAA&#10;" fillcolor="#8a043d" strokecolor="white [3212]" strokeweight="2.25pt">
                  <v:textbox inset=",1mm,,1mm">
                    <w:txbxContent>
                      <w:p w14:paraId="069DD72F"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054CA0A" w14:textId="77777777" w:rsidR="00CE542E" w:rsidRPr="004D56F3" w:rsidRDefault="00CE542E" w:rsidP="00771EF0">
                        <w:pPr>
                          <w:pStyle w:val="1"/>
                          <w:numPr>
                            <w:ilvl w:val="0"/>
                            <w:numId w:val="17"/>
                          </w:numPr>
                          <w:spacing w:before="0" w:after="0"/>
                        </w:pPr>
                        <w:r>
                          <w:rPr>
                            <w:rFonts w:eastAsia="+mn-ea"/>
                            <w:color w:val="FFFFFF"/>
                            <w:kern w:val="0"/>
                            <w:szCs w:val="22"/>
                            <w:lang w:eastAsia="en-AU"/>
                          </w:rPr>
                          <w:t>D</w:t>
                        </w:r>
                        <w:r w:rsidRPr="004D56F3">
                          <w:t xml:space="preserve">esign and </w:t>
                        </w:r>
                        <w:r>
                          <w:t>apply</w:t>
                        </w:r>
                        <w:r w:rsidRPr="004D56F3">
                          <w:t xml:space="preserve"> assurance activities, tools and processes that are valued by our stakeholders and enable </w:t>
                        </w:r>
                        <w:r>
                          <w:t>performance improvements</w:t>
                        </w:r>
                        <w:r w:rsidRPr="004D56F3">
                          <w:t>, evaluation and reporting.</w:t>
                        </w:r>
                      </w:p>
                      <w:p w14:paraId="7FD7C2A9" w14:textId="77777777" w:rsidR="00CE542E" w:rsidRPr="004D56F3" w:rsidRDefault="00CE542E" w:rsidP="00771EF0">
                        <w:pPr>
                          <w:pStyle w:val="1"/>
                          <w:numPr>
                            <w:ilvl w:val="0"/>
                            <w:numId w:val="17"/>
                          </w:numPr>
                          <w:spacing w:before="0" w:after="0"/>
                        </w:pPr>
                        <w:r w:rsidRPr="00515807">
                          <w:rPr>
                            <w:rFonts w:eastAsia="+mn-ea"/>
                            <w:color w:val="FFFFFF"/>
                            <w:kern w:val="0"/>
                            <w:szCs w:val="22"/>
                            <w:lang w:eastAsia="en-AU"/>
                          </w:rPr>
                          <w:t>Undertake</w:t>
                        </w:r>
                        <w:r w:rsidRPr="004D56F3">
                          <w:t xml:space="preserve"> targeted reviews and system analysis that identify risks, gaps and prioritise improvements on the basis of community outcomes.</w:t>
                        </w:r>
                      </w:p>
                      <w:p w14:paraId="64961AED" w14:textId="04DF53C8" w:rsidR="00CE542E" w:rsidRPr="00161F25" w:rsidRDefault="00CE542E" w:rsidP="00771EF0">
                        <w:pPr>
                          <w:pStyle w:val="ListParagraph"/>
                          <w:spacing w:before="0" w:after="0"/>
                          <w:ind w:left="360"/>
                          <w:rPr>
                            <w:color w:val="FFFFFF" w:themeColor="background1"/>
                            <w:sz w:val="18"/>
                          </w:rPr>
                        </w:pPr>
                      </w:p>
                    </w:txbxContent>
                  </v:textbox>
                </v:roundrect>
              </v:group>
            </w:pict>
          </mc:Fallback>
        </mc:AlternateContent>
      </w:r>
    </w:p>
    <w:p w14:paraId="7BFD51B8" w14:textId="77777777" w:rsidR="00771EF0" w:rsidRPr="00515807" w:rsidRDefault="00771EF0" w:rsidP="00771EF0">
      <w:pPr>
        <w:rPr>
          <w:rFonts w:eastAsia="Calibri"/>
          <w:highlight w:val="yellow"/>
        </w:rPr>
      </w:pPr>
    </w:p>
    <w:p w14:paraId="4034FD80" w14:textId="77777777" w:rsidR="00771EF0" w:rsidRPr="00515807" w:rsidRDefault="00771EF0" w:rsidP="00771EF0">
      <w:pPr>
        <w:rPr>
          <w:rFonts w:eastAsia="Calibri"/>
          <w:highlight w:val="yellow"/>
        </w:rPr>
      </w:pPr>
    </w:p>
    <w:p w14:paraId="4BEDE281" w14:textId="77777777" w:rsidR="00771EF0" w:rsidRPr="00515807" w:rsidRDefault="00771EF0" w:rsidP="00771EF0">
      <w:pPr>
        <w:rPr>
          <w:rFonts w:eastAsia="Calibri"/>
          <w:highlight w:val="yellow"/>
        </w:rPr>
      </w:pPr>
    </w:p>
    <w:p w14:paraId="001741E3" w14:textId="77777777" w:rsidR="00771EF0" w:rsidRPr="00515807" w:rsidRDefault="00771EF0" w:rsidP="00771EF0">
      <w:pPr>
        <w:rPr>
          <w:rFonts w:eastAsia="Calibri"/>
          <w:i/>
          <w:highlight w:val="yellow"/>
        </w:rPr>
      </w:pPr>
    </w:p>
    <w:p w14:paraId="17475ED5" w14:textId="77777777" w:rsidR="00771EF0" w:rsidRPr="00515807" w:rsidRDefault="00771EF0" w:rsidP="00771EF0">
      <w:pPr>
        <w:rPr>
          <w:rFonts w:eastAsia="Calibri"/>
          <w:i/>
          <w:highlight w:val="yellow"/>
        </w:rPr>
      </w:pPr>
    </w:p>
    <w:p w14:paraId="280DE228" w14:textId="77777777" w:rsidR="00771EF0" w:rsidRPr="00515807" w:rsidRDefault="00771EF0" w:rsidP="00771EF0">
      <w:pPr>
        <w:rPr>
          <w:rFonts w:eastAsia="Calibri"/>
          <w:i/>
          <w:highlight w:val="yellow"/>
        </w:rPr>
      </w:pPr>
    </w:p>
    <w:p w14:paraId="37A9D252" w14:textId="77777777" w:rsidR="00771EF0" w:rsidRPr="00515807" w:rsidRDefault="00771EF0" w:rsidP="00771EF0">
      <w:pPr>
        <w:rPr>
          <w:rFonts w:eastAsia="Calibri"/>
          <w:i/>
          <w:highlight w:val="yellow"/>
        </w:rPr>
      </w:pPr>
    </w:p>
    <w:p w14:paraId="08F6677D" w14:textId="77777777" w:rsidR="00771EF0" w:rsidRPr="00515807" w:rsidRDefault="00771EF0" w:rsidP="00771EF0">
      <w:pPr>
        <w:rPr>
          <w:rFonts w:eastAsia="Calibri"/>
          <w:i/>
          <w:highlight w:val="yellow"/>
        </w:rPr>
      </w:pPr>
    </w:p>
    <w:p w14:paraId="6FECD5C3" w14:textId="77777777" w:rsidR="00771EF0" w:rsidRPr="00515807" w:rsidRDefault="00771EF0" w:rsidP="00771EF0">
      <w:pPr>
        <w:rPr>
          <w:rFonts w:eastAsia="Calibri"/>
          <w:i/>
          <w:highlight w:val="yellow"/>
        </w:rPr>
      </w:pPr>
    </w:p>
    <w:p w14:paraId="6BD1923F" w14:textId="77777777" w:rsidR="00771EF0" w:rsidRPr="00515807" w:rsidRDefault="00771EF0" w:rsidP="00771EF0">
      <w:pPr>
        <w:rPr>
          <w:rFonts w:eastAsia="Calibri"/>
          <w:i/>
          <w:highlight w:val="yellow"/>
        </w:rPr>
      </w:pPr>
    </w:p>
    <w:p w14:paraId="61E47731" w14:textId="77777777" w:rsidR="00771EF0" w:rsidRDefault="00771EF0" w:rsidP="00771EF0">
      <w:pPr>
        <w:rPr>
          <w:rFonts w:eastAsia="Calibri"/>
          <w:i/>
          <w:highlight w:val="yellow"/>
        </w:rPr>
      </w:pPr>
    </w:p>
    <w:p w14:paraId="14BD79D5" w14:textId="77777777" w:rsidR="00771EF0" w:rsidRPr="00405778" w:rsidRDefault="00771EF0" w:rsidP="00913AA5">
      <w:pPr>
        <w:spacing w:before="240"/>
        <w:ind w:left="-142"/>
        <w:rPr>
          <w:rFonts w:eastAsia="Cambria"/>
          <w:b/>
          <w:sz w:val="28"/>
          <w:szCs w:val="28"/>
        </w:rPr>
      </w:pPr>
      <w:r w:rsidRPr="00405778">
        <w:rPr>
          <w:rFonts w:eastAsia="Cambria"/>
          <w:b/>
          <w:sz w:val="28"/>
          <w:szCs w:val="28"/>
        </w:rPr>
        <w:t>Program of reviews</w:t>
      </w:r>
    </w:p>
    <w:p w14:paraId="43F78A7D" w14:textId="1A7C3C6C" w:rsidR="00771EF0" w:rsidRPr="00515807" w:rsidRDefault="00771EF0" w:rsidP="001A7E9D">
      <w:pPr>
        <w:ind w:left="-142"/>
        <w:rPr>
          <w:rFonts w:eastAsia="Cambria"/>
        </w:rPr>
      </w:pPr>
      <w:r w:rsidRPr="00515807">
        <w:rPr>
          <w:rFonts w:eastAsia="Cambria"/>
        </w:rPr>
        <w:t>Assurance activities undertaken by the Office of the IGEM include a program of strategic reviews. This is one way for the</w:t>
      </w:r>
      <w:r w:rsidR="00DF15CD">
        <w:rPr>
          <w:rFonts w:eastAsia="Cambria"/>
        </w:rPr>
        <w:t xml:space="preserve"> Office of the</w:t>
      </w:r>
      <w:r w:rsidRPr="00515807">
        <w:rPr>
          <w:rFonts w:eastAsia="Cambria"/>
        </w:rPr>
        <w:t xml:space="preserve"> IGEM to </w:t>
      </w:r>
      <w:r>
        <w:rPr>
          <w:rFonts w:eastAsia="Cambria"/>
        </w:rPr>
        <w:t>gauge a</w:t>
      </w:r>
      <w:r w:rsidRPr="00515807">
        <w:rPr>
          <w:rFonts w:eastAsia="Cambria"/>
        </w:rPr>
        <w:t xml:space="preserve"> level of confidence in Queensland’s disaster management arrangements, identify risks and gaps, and prioritise areas for improvement. </w:t>
      </w:r>
    </w:p>
    <w:p w14:paraId="0A88BA66" w14:textId="77777777" w:rsidR="00771EF0" w:rsidRPr="00515807" w:rsidRDefault="00771EF0" w:rsidP="001A7E9D">
      <w:pPr>
        <w:ind w:left="-142"/>
        <w:rPr>
          <w:rFonts w:eastAsia="Cambria"/>
        </w:rPr>
      </w:pPr>
      <w:r w:rsidRPr="00515807">
        <w:rPr>
          <w:rFonts w:eastAsia="Cambria"/>
        </w:rPr>
        <w:t xml:space="preserve">Review topics are identified </w:t>
      </w:r>
      <w:r>
        <w:rPr>
          <w:rFonts w:eastAsia="Cambria"/>
        </w:rPr>
        <w:t xml:space="preserve">through </w:t>
      </w:r>
      <w:r w:rsidRPr="00515807">
        <w:rPr>
          <w:rFonts w:eastAsia="Cambria"/>
        </w:rPr>
        <w:t>consultation with disaster management stakeholders and broad environmental scanning activities conducted by the Office of the IGEM.</w:t>
      </w:r>
    </w:p>
    <w:p w14:paraId="3A639E7E" w14:textId="77777777" w:rsidR="00771EF0" w:rsidRPr="00515807" w:rsidRDefault="00771EF0" w:rsidP="001A7E9D">
      <w:pPr>
        <w:ind w:left="-142"/>
        <w:rPr>
          <w:rFonts w:eastAsia="Cambria"/>
        </w:rPr>
      </w:pPr>
      <w:r w:rsidRPr="00515807">
        <w:rPr>
          <w:rFonts w:eastAsia="Cambria"/>
        </w:rPr>
        <w:t>Reviews involve a significant depth of enquiry and produce findings, conclusions and recommendations for improvements.</w:t>
      </w:r>
    </w:p>
    <w:p w14:paraId="1AC40D89" w14:textId="77777777" w:rsidR="00771EF0" w:rsidRDefault="00771EF0" w:rsidP="001A7E9D">
      <w:pPr>
        <w:ind w:left="-142"/>
        <w:rPr>
          <w:rFonts w:eastAsia="Cambria"/>
        </w:rPr>
      </w:pPr>
      <w:r>
        <w:rPr>
          <w:rFonts w:eastAsia="Cambria"/>
        </w:rPr>
        <w:t>In 2016</w:t>
      </w:r>
      <w:r w:rsidRPr="00515807">
        <w:rPr>
          <w:rFonts w:eastAsia="Cambria"/>
        </w:rPr>
        <w:t>-1</w:t>
      </w:r>
      <w:r>
        <w:rPr>
          <w:rFonts w:eastAsia="Cambria"/>
        </w:rPr>
        <w:t>7,</w:t>
      </w:r>
      <w:r w:rsidRPr="00515807">
        <w:rPr>
          <w:rFonts w:eastAsia="Cambria"/>
        </w:rPr>
        <w:t xml:space="preserve"> the Office of the IGEM completed </w:t>
      </w:r>
      <w:r>
        <w:rPr>
          <w:rFonts w:eastAsia="Cambria"/>
        </w:rPr>
        <w:t>two</w:t>
      </w:r>
      <w:r w:rsidRPr="00515807">
        <w:rPr>
          <w:rFonts w:eastAsia="Cambria"/>
        </w:rPr>
        <w:t xml:space="preserve"> formal reviews:</w:t>
      </w:r>
    </w:p>
    <w:p w14:paraId="6E47F85D" w14:textId="77777777" w:rsidR="00771EF0" w:rsidRPr="00B07447" w:rsidRDefault="00771EF0" w:rsidP="001A7E9D">
      <w:pPr>
        <w:pStyle w:val="ListParagraph"/>
        <w:numPr>
          <w:ilvl w:val="0"/>
          <w:numId w:val="43"/>
        </w:numPr>
        <w:ind w:left="426" w:hanging="502"/>
        <w:rPr>
          <w:rFonts w:eastAsia="Cambria"/>
        </w:rPr>
      </w:pPr>
      <w:r w:rsidRPr="00515807">
        <w:rPr>
          <w:rFonts w:eastAsia="Cambria"/>
          <w:b/>
          <w:i/>
        </w:rPr>
        <w:t xml:space="preserve">Review of capability at a district and local level: </w:t>
      </w:r>
      <w:r>
        <w:rPr>
          <w:rFonts w:eastAsia="Cambria"/>
          <w:b/>
          <w:i/>
        </w:rPr>
        <w:t>Mackay D</w:t>
      </w:r>
      <w:r w:rsidRPr="00515807">
        <w:rPr>
          <w:rFonts w:eastAsia="Cambria"/>
          <w:b/>
          <w:i/>
        </w:rPr>
        <w:t xml:space="preserve">isaster </w:t>
      </w:r>
      <w:r>
        <w:rPr>
          <w:rFonts w:eastAsia="Cambria"/>
          <w:b/>
          <w:i/>
        </w:rPr>
        <w:t>D</w:t>
      </w:r>
      <w:r w:rsidRPr="00515807">
        <w:rPr>
          <w:rFonts w:eastAsia="Cambria"/>
          <w:b/>
          <w:i/>
        </w:rPr>
        <w:t xml:space="preserve">istrict Report </w:t>
      </w:r>
      <w:r>
        <w:rPr>
          <w:rFonts w:eastAsia="Cambria"/>
          <w:b/>
          <w:i/>
        </w:rPr>
        <w:t>1</w:t>
      </w:r>
      <w:r w:rsidRPr="00515807">
        <w:rPr>
          <w:rFonts w:eastAsia="Cambria"/>
          <w:b/>
          <w:i/>
        </w:rPr>
        <w:t>: 201</w:t>
      </w:r>
      <w:r>
        <w:rPr>
          <w:rFonts w:eastAsia="Cambria"/>
          <w:b/>
          <w:i/>
        </w:rPr>
        <w:t>6</w:t>
      </w:r>
      <w:r w:rsidRPr="00515807">
        <w:rPr>
          <w:rFonts w:eastAsia="Cambria"/>
          <w:b/>
          <w:i/>
        </w:rPr>
        <w:noBreakHyphen/>
        <w:t>1</w:t>
      </w:r>
      <w:r>
        <w:rPr>
          <w:rFonts w:eastAsia="Cambria"/>
          <w:b/>
          <w:i/>
        </w:rPr>
        <w:t>7</w:t>
      </w:r>
    </w:p>
    <w:p w14:paraId="5A0FFF72" w14:textId="77777777" w:rsidR="00771EF0" w:rsidRPr="00515807" w:rsidRDefault="00771EF0" w:rsidP="001A7E9D">
      <w:pPr>
        <w:ind w:left="426"/>
        <w:rPr>
          <w:rFonts w:eastAsia="Cambria"/>
        </w:rPr>
      </w:pPr>
      <w:r w:rsidRPr="00515807">
        <w:rPr>
          <w:rFonts w:eastAsia="Cambria"/>
        </w:rPr>
        <w:t xml:space="preserve">The purpose of the review was to provide an in-depth assessment of local government and district level capability measured against the Standard. </w:t>
      </w:r>
    </w:p>
    <w:p w14:paraId="32C79567" w14:textId="77777777" w:rsidR="00771EF0" w:rsidRPr="00515807" w:rsidRDefault="00771EF0" w:rsidP="001A7E9D">
      <w:pPr>
        <w:ind w:left="426"/>
        <w:rPr>
          <w:rFonts w:eastAsia="Cambria"/>
        </w:rPr>
      </w:pPr>
      <w:r w:rsidRPr="00515807">
        <w:rPr>
          <w:rFonts w:eastAsia="Cambria"/>
        </w:rPr>
        <w:t xml:space="preserve">The review focused on the </w:t>
      </w:r>
      <w:r>
        <w:rPr>
          <w:rFonts w:eastAsia="Cambria"/>
        </w:rPr>
        <w:t>Mackay</w:t>
      </w:r>
      <w:r w:rsidRPr="00515807">
        <w:rPr>
          <w:rFonts w:eastAsia="Cambria"/>
        </w:rPr>
        <w:t xml:space="preserve"> Disaster District including the District Disaster Management Group and Local Disaster Management Groups in that district. This forward-looking review assessed the individual and collective ability of the disaster management groups to meet future challenges. </w:t>
      </w:r>
    </w:p>
    <w:p w14:paraId="2DBB53DB" w14:textId="77777777" w:rsidR="00771EF0" w:rsidRDefault="00771EF0" w:rsidP="001A7E9D">
      <w:pPr>
        <w:ind w:left="426"/>
        <w:rPr>
          <w:rFonts w:eastAsia="Cambria"/>
        </w:rPr>
      </w:pPr>
      <w:r w:rsidRPr="00515807">
        <w:rPr>
          <w:rFonts w:eastAsia="Cambria"/>
        </w:rPr>
        <w:t xml:space="preserve">The Office of the IGEM made an assessment focused on strengths and development areas in the context of anticipated future risk. Areas identified for improvement are supported by an integrated improvement strategy across the disaster district. </w:t>
      </w:r>
    </w:p>
    <w:p w14:paraId="068CBE52" w14:textId="77777777" w:rsidR="00771EF0" w:rsidRDefault="00771EF0" w:rsidP="001A7E9D">
      <w:pPr>
        <w:ind w:left="426"/>
        <w:rPr>
          <w:rFonts w:eastAsia="Cambria"/>
        </w:rPr>
      </w:pPr>
      <w:r>
        <w:rPr>
          <w:rFonts w:eastAsia="Cambria"/>
        </w:rPr>
        <w:t xml:space="preserve">The review report is available at </w:t>
      </w:r>
      <w:hyperlink r:id="rId63" w:history="1">
        <w:r w:rsidRPr="00EB1C61">
          <w:rPr>
            <w:rStyle w:val="Hyperlink"/>
            <w:rFonts w:eastAsia="Cambria"/>
          </w:rPr>
          <w:t>https://www.igem.qld.gov.au/reports-and-publications/Documents/Mackay%20district%20capability%20review%20report%20PUBLIC.pdf</w:t>
        </w:r>
      </w:hyperlink>
      <w:r>
        <w:rPr>
          <w:rFonts w:eastAsia="Cambria"/>
        </w:rPr>
        <w:t>.</w:t>
      </w:r>
    </w:p>
    <w:p w14:paraId="606E0762" w14:textId="77777777" w:rsidR="00771EF0" w:rsidRPr="00991816" w:rsidRDefault="00771EF0" w:rsidP="001A7E9D">
      <w:pPr>
        <w:widowControl w:val="0"/>
        <w:numPr>
          <w:ilvl w:val="0"/>
          <w:numId w:val="19"/>
        </w:numPr>
        <w:spacing w:before="60" w:after="60" w:line="251" w:lineRule="exact"/>
        <w:ind w:left="426" w:hanging="502"/>
        <w:rPr>
          <w:rFonts w:eastAsia="Cambria"/>
          <w:b/>
          <w:i/>
        </w:rPr>
      </w:pPr>
      <w:r w:rsidRPr="00991816">
        <w:rPr>
          <w:rFonts w:eastAsia="Cambria"/>
          <w:b/>
          <w:i/>
        </w:rPr>
        <w:t xml:space="preserve">Review of the Queensland State Disaster Management Plan </w:t>
      </w:r>
    </w:p>
    <w:p w14:paraId="781E3242" w14:textId="77777777" w:rsidR="00771EF0" w:rsidRPr="00991816" w:rsidRDefault="00771EF0" w:rsidP="001A7E9D">
      <w:pPr>
        <w:ind w:left="426"/>
        <w:rPr>
          <w:rFonts w:eastAsia="Cambria"/>
        </w:rPr>
      </w:pPr>
      <w:r w:rsidRPr="00991816">
        <w:rPr>
          <w:rFonts w:eastAsia="Cambria"/>
        </w:rPr>
        <w:t xml:space="preserve">The purpose of the review was to assess the effectiveness of the State Disaster Management Plan (State Plan) and its implementation. </w:t>
      </w:r>
    </w:p>
    <w:p w14:paraId="397B1140" w14:textId="4ED9E2A0" w:rsidR="00771EF0" w:rsidRPr="00991816" w:rsidRDefault="00771EF0" w:rsidP="001A7E9D">
      <w:pPr>
        <w:ind w:left="426"/>
        <w:rPr>
          <w:rFonts w:eastAsia="Cambria"/>
        </w:rPr>
      </w:pPr>
      <w:r w:rsidRPr="00991816">
        <w:rPr>
          <w:rFonts w:eastAsia="Cambria"/>
        </w:rPr>
        <w:t xml:space="preserve">As part of the review, the Office </w:t>
      </w:r>
      <w:r w:rsidR="00337CEA">
        <w:rPr>
          <w:rFonts w:eastAsia="Cambria"/>
        </w:rPr>
        <w:t xml:space="preserve">of the IGEM </w:t>
      </w:r>
      <w:r w:rsidRPr="00991816">
        <w:rPr>
          <w:rFonts w:eastAsia="Cambria"/>
        </w:rPr>
        <w:t>engaged extensively with state government agencies, local governments, non-government entities and other jurisdictions.</w:t>
      </w:r>
    </w:p>
    <w:p w14:paraId="4151A715" w14:textId="6492F72F" w:rsidR="00771EF0" w:rsidRDefault="00771EF0" w:rsidP="001A7E9D">
      <w:pPr>
        <w:ind w:left="426"/>
        <w:rPr>
          <w:rFonts w:eastAsia="Cambria"/>
        </w:rPr>
      </w:pPr>
      <w:r w:rsidRPr="00991816">
        <w:rPr>
          <w:rFonts w:eastAsia="Cambria"/>
        </w:rPr>
        <w:t xml:space="preserve">The review report was provided to the </w:t>
      </w:r>
      <w:r w:rsidR="007056CF">
        <w:rPr>
          <w:rFonts w:eastAsia="Cambria"/>
        </w:rPr>
        <w:t>QPS</w:t>
      </w:r>
      <w:r w:rsidRPr="00991816">
        <w:rPr>
          <w:rFonts w:eastAsia="Cambria"/>
        </w:rPr>
        <w:t xml:space="preserve"> and </w:t>
      </w:r>
      <w:r w:rsidR="007056CF">
        <w:rPr>
          <w:rFonts w:eastAsia="Cambria"/>
        </w:rPr>
        <w:t>QFES</w:t>
      </w:r>
      <w:r w:rsidRPr="00991816">
        <w:rPr>
          <w:rFonts w:eastAsia="Cambria"/>
        </w:rPr>
        <w:t xml:space="preserve"> to inform work being undertaken to recraft the State Plan. </w:t>
      </w:r>
    </w:p>
    <w:p w14:paraId="12EBD742" w14:textId="77777777" w:rsidR="00AB2417" w:rsidRDefault="00AB2417">
      <w:pPr>
        <w:rPr>
          <w:rFonts w:eastAsia="Cambria"/>
        </w:rPr>
      </w:pPr>
      <w:r>
        <w:rPr>
          <w:rFonts w:eastAsia="Cambria"/>
        </w:rPr>
        <w:br w:type="page"/>
      </w:r>
    </w:p>
    <w:p w14:paraId="0BB947ED" w14:textId="56C306E1" w:rsidR="00771EF0" w:rsidRDefault="00771EF0" w:rsidP="001A7E9D">
      <w:pPr>
        <w:ind w:left="-142"/>
        <w:rPr>
          <w:rFonts w:eastAsia="Cambria"/>
        </w:rPr>
      </w:pPr>
      <w:r>
        <w:rPr>
          <w:rFonts w:eastAsia="Cambria"/>
        </w:rPr>
        <w:lastRenderedPageBreak/>
        <w:t>The Office</w:t>
      </w:r>
      <w:r w:rsidR="00337CEA">
        <w:rPr>
          <w:rFonts w:eastAsia="Cambria"/>
        </w:rPr>
        <w:t xml:space="preserve"> of the IGEM</w:t>
      </w:r>
      <w:r>
        <w:rPr>
          <w:rFonts w:eastAsia="Cambria"/>
        </w:rPr>
        <w:t xml:space="preserve"> also commenced two reviews in 2016-17:</w:t>
      </w:r>
    </w:p>
    <w:p w14:paraId="5E08FC21" w14:textId="77777777" w:rsidR="00771EF0" w:rsidRPr="00515807" w:rsidRDefault="00771EF0" w:rsidP="00577601">
      <w:pPr>
        <w:widowControl w:val="0"/>
        <w:numPr>
          <w:ilvl w:val="0"/>
          <w:numId w:val="19"/>
        </w:numPr>
        <w:spacing w:before="60" w:after="60" w:line="251" w:lineRule="exact"/>
        <w:ind w:left="473" w:hanging="615"/>
        <w:rPr>
          <w:rFonts w:eastAsia="Cambria"/>
          <w:b/>
          <w:i/>
        </w:rPr>
      </w:pPr>
      <w:r w:rsidRPr="00515807">
        <w:rPr>
          <w:rFonts w:eastAsia="Cambria"/>
          <w:b/>
          <w:i/>
        </w:rPr>
        <w:t xml:space="preserve">Review of </w:t>
      </w:r>
      <w:r>
        <w:rPr>
          <w:rFonts w:eastAsia="Cambria"/>
          <w:b/>
          <w:i/>
        </w:rPr>
        <w:t xml:space="preserve">evacuation management arrangements </w:t>
      </w:r>
      <w:r w:rsidRPr="00515807">
        <w:rPr>
          <w:rFonts w:eastAsia="Cambria"/>
          <w:b/>
          <w:i/>
        </w:rPr>
        <w:t xml:space="preserve"> </w:t>
      </w:r>
    </w:p>
    <w:p w14:paraId="19BD5E33" w14:textId="22539643" w:rsidR="00771EF0" w:rsidRPr="00515807" w:rsidRDefault="00771EF0" w:rsidP="00771EF0">
      <w:pPr>
        <w:ind w:left="482"/>
        <w:rPr>
          <w:rFonts w:eastAsia="Cambria"/>
        </w:rPr>
      </w:pPr>
      <w:r w:rsidRPr="00515807">
        <w:rPr>
          <w:rFonts w:eastAsia="Cambria"/>
        </w:rPr>
        <w:t xml:space="preserve">The purpose of the review was to examine </w:t>
      </w:r>
      <w:r w:rsidR="00FB580E">
        <w:rPr>
          <w:rFonts w:eastAsia="Cambria"/>
        </w:rPr>
        <w:t>Queensland’s</w:t>
      </w:r>
      <w:r>
        <w:rPr>
          <w:rFonts w:eastAsia="Cambria"/>
        </w:rPr>
        <w:t xml:space="preserve"> evacuation management arrangements. The focus was on ensuring Queensland is best placed to achieve the best possible evacuation outcomes for its communities in the face of all hazards. </w:t>
      </w:r>
      <w:r w:rsidRPr="00515807">
        <w:rPr>
          <w:rFonts w:eastAsia="Cambria"/>
        </w:rPr>
        <w:t xml:space="preserve"> </w:t>
      </w:r>
    </w:p>
    <w:p w14:paraId="10D386B3" w14:textId="2382E4CA" w:rsidR="00771EF0" w:rsidRDefault="00771EF0" w:rsidP="00771EF0">
      <w:pPr>
        <w:ind w:left="482"/>
        <w:rPr>
          <w:rFonts w:eastAsia="Cambria"/>
        </w:rPr>
      </w:pPr>
      <w:r>
        <w:rPr>
          <w:rFonts w:eastAsia="Cambria"/>
        </w:rPr>
        <w:t>The review assessed which arrangements are scalable and reflect best practice; the extent to which the legislative authority to i</w:t>
      </w:r>
      <w:r w:rsidR="00072961">
        <w:rPr>
          <w:rFonts w:eastAsia="Cambria"/>
        </w:rPr>
        <w:t>nitiate</w:t>
      </w:r>
      <w:r>
        <w:rPr>
          <w:rFonts w:eastAsia="Cambria"/>
        </w:rPr>
        <w:t xml:space="preserve"> evacuations is clear; and the capacity for adapting plans to events. </w:t>
      </w:r>
    </w:p>
    <w:p w14:paraId="1DE32F09" w14:textId="77777777" w:rsidR="00771EF0" w:rsidRDefault="00771EF0" w:rsidP="00771EF0">
      <w:pPr>
        <w:ind w:left="482"/>
        <w:rPr>
          <w:rFonts w:eastAsia="Cambria"/>
        </w:rPr>
      </w:pPr>
      <w:r>
        <w:rPr>
          <w:rFonts w:eastAsia="Cambria"/>
        </w:rPr>
        <w:t xml:space="preserve">Workshops were conducted with key stakeholders in Rockhampton, Townsville, Gold Coast and Brisbane.   </w:t>
      </w:r>
    </w:p>
    <w:p w14:paraId="2F9033FA" w14:textId="77777777" w:rsidR="00771EF0" w:rsidRPr="00515807" w:rsidRDefault="00771EF0" w:rsidP="00771EF0">
      <w:pPr>
        <w:ind w:left="482"/>
        <w:rPr>
          <w:rFonts w:eastAsia="Cambria"/>
        </w:rPr>
      </w:pPr>
      <w:r>
        <w:rPr>
          <w:rFonts w:eastAsia="Cambria"/>
        </w:rPr>
        <w:t xml:space="preserve">The review was temporarily suspended in April 2017. Some aspects of this review are directly relevant to the review of the effectiveness of the disaster management system in Queensland. </w:t>
      </w:r>
    </w:p>
    <w:p w14:paraId="4A26D124" w14:textId="77777777" w:rsidR="00771EF0" w:rsidRPr="00515807" w:rsidRDefault="00771EF0" w:rsidP="00577601">
      <w:pPr>
        <w:widowControl w:val="0"/>
        <w:numPr>
          <w:ilvl w:val="0"/>
          <w:numId w:val="19"/>
        </w:numPr>
        <w:spacing w:before="60" w:after="60" w:line="251" w:lineRule="exact"/>
        <w:ind w:left="473" w:hanging="615"/>
        <w:rPr>
          <w:rFonts w:eastAsia="Cambria"/>
          <w:b/>
          <w:i/>
        </w:rPr>
      </w:pPr>
      <w:r w:rsidRPr="00515807">
        <w:rPr>
          <w:rFonts w:eastAsia="Cambria"/>
          <w:b/>
          <w:i/>
        </w:rPr>
        <w:t xml:space="preserve">Review of </w:t>
      </w:r>
      <w:r>
        <w:rPr>
          <w:rFonts w:eastAsia="Cambria"/>
          <w:b/>
          <w:i/>
        </w:rPr>
        <w:t xml:space="preserve">the effectiveness of the disaster management system in Queensland </w:t>
      </w:r>
    </w:p>
    <w:p w14:paraId="4E322B51" w14:textId="04548EC0" w:rsidR="00771EF0" w:rsidRPr="004F66A5" w:rsidRDefault="00771EF0" w:rsidP="00771EF0">
      <w:pPr>
        <w:ind w:left="482"/>
        <w:rPr>
          <w:rFonts w:eastAsia="Cambria"/>
        </w:rPr>
      </w:pPr>
      <w:r w:rsidRPr="004F66A5">
        <w:rPr>
          <w:rFonts w:eastAsia="Cambria"/>
        </w:rPr>
        <w:t>In April 2017, the Minister for Police, Fire and Emergency Services and Minister for Corrective Services announced a major review into the effectiveness of</w:t>
      </w:r>
      <w:r w:rsidR="00FB580E">
        <w:rPr>
          <w:rFonts w:eastAsia="Cambria"/>
        </w:rPr>
        <w:t xml:space="preserve"> t</w:t>
      </w:r>
      <w:r w:rsidRPr="004F66A5">
        <w:rPr>
          <w:rFonts w:eastAsia="Cambria"/>
        </w:rPr>
        <w:t>he disaster management system in Queensland in the wake of Severe Tro</w:t>
      </w:r>
      <w:r w:rsidR="00FB580E">
        <w:rPr>
          <w:rFonts w:eastAsia="Cambria"/>
        </w:rPr>
        <w:t>pical Cyclone Debbie</w:t>
      </w:r>
      <w:r w:rsidRPr="004F66A5">
        <w:rPr>
          <w:rFonts w:eastAsia="Cambria"/>
        </w:rPr>
        <w:t xml:space="preserve">. </w:t>
      </w:r>
    </w:p>
    <w:p w14:paraId="75B4A913" w14:textId="6F8FE06A" w:rsidR="00771EF0" w:rsidRPr="004F66A5" w:rsidRDefault="00771EF0" w:rsidP="00771EF0">
      <w:pPr>
        <w:ind w:left="482"/>
        <w:rPr>
          <w:rFonts w:eastAsia="Cambria"/>
        </w:rPr>
      </w:pPr>
      <w:r w:rsidRPr="004F66A5">
        <w:rPr>
          <w:rFonts w:eastAsia="Cambria"/>
        </w:rPr>
        <w:t xml:space="preserve">The purpose of the review was to provide assurance that there is a robust approach to continuous improvement across all aspects of Queensland’s disaster management system. The aims of the review are to ensure that lessons are captured; common themes for improvement are identified; and good practice is shared.  </w:t>
      </w:r>
    </w:p>
    <w:p w14:paraId="2EC73843" w14:textId="622CC0C3" w:rsidR="00771EF0" w:rsidRPr="004F66A5" w:rsidRDefault="00771EF0" w:rsidP="00771EF0">
      <w:pPr>
        <w:ind w:left="482"/>
        <w:rPr>
          <w:rFonts w:eastAsia="Cambria"/>
        </w:rPr>
      </w:pPr>
      <w:r w:rsidRPr="004F66A5">
        <w:rPr>
          <w:rFonts w:eastAsia="Cambria"/>
        </w:rPr>
        <w:t xml:space="preserve">Extensive consultation </w:t>
      </w:r>
      <w:r w:rsidR="00072961">
        <w:rPr>
          <w:rFonts w:eastAsia="Cambria"/>
        </w:rPr>
        <w:t>was</w:t>
      </w:r>
      <w:r w:rsidRPr="004F66A5">
        <w:rPr>
          <w:rFonts w:eastAsia="Cambria"/>
        </w:rPr>
        <w:t xml:space="preserve"> undertaken with a range of key stakeholders, including attendance at formal debriefs and post season discussion meetings. Importantly, a community survey was undertaken of 1200 residents </w:t>
      </w:r>
      <w:r>
        <w:rPr>
          <w:rFonts w:eastAsia="Cambria"/>
        </w:rPr>
        <w:t>of affected localities</w:t>
      </w:r>
      <w:r w:rsidRPr="004F66A5">
        <w:rPr>
          <w:rFonts w:eastAsia="Cambria"/>
        </w:rPr>
        <w:t xml:space="preserve"> in Queensland to capture public opinion. </w:t>
      </w:r>
    </w:p>
    <w:p w14:paraId="2BC62DA5" w14:textId="77777777" w:rsidR="00771EF0" w:rsidRPr="004F66A5" w:rsidRDefault="00771EF0" w:rsidP="00A811F5">
      <w:pPr>
        <w:spacing w:after="240"/>
        <w:ind w:left="482"/>
        <w:rPr>
          <w:rFonts w:eastAsia="Cambria"/>
        </w:rPr>
      </w:pPr>
      <w:r w:rsidRPr="004F66A5">
        <w:rPr>
          <w:rFonts w:eastAsia="Cambria"/>
        </w:rPr>
        <w:t xml:space="preserve">The findings of the review will be considered prior to the 2017-18 severe weather season.  </w:t>
      </w:r>
    </w:p>
    <w:p w14:paraId="6CD1DB78" w14:textId="77777777" w:rsidR="00771EF0" w:rsidRPr="00405778" w:rsidRDefault="00771EF0" w:rsidP="00913AA5">
      <w:pPr>
        <w:tabs>
          <w:tab w:val="left" w:pos="567"/>
          <w:tab w:val="left" w:pos="1107"/>
        </w:tabs>
        <w:spacing w:before="240"/>
        <w:ind w:left="-142"/>
        <w:rPr>
          <w:rFonts w:eastAsia="Calibri"/>
          <w:b/>
          <w:sz w:val="28"/>
          <w:szCs w:val="28"/>
        </w:rPr>
      </w:pPr>
      <w:r w:rsidRPr="00405778">
        <w:rPr>
          <w:rFonts w:eastAsia="Calibri"/>
          <w:b/>
          <w:sz w:val="28"/>
          <w:szCs w:val="28"/>
        </w:rPr>
        <w:t>Emergency Management Prioritisation Tool</w:t>
      </w:r>
    </w:p>
    <w:p w14:paraId="49DD8434" w14:textId="77777777" w:rsidR="00771EF0" w:rsidRDefault="00771EF0" w:rsidP="00577601">
      <w:pPr>
        <w:ind w:left="-142"/>
        <w:rPr>
          <w:rFonts w:eastAsia="Cambria"/>
        </w:rPr>
      </w:pPr>
      <w:r>
        <w:rPr>
          <w:rFonts w:eastAsia="Cambria"/>
        </w:rPr>
        <w:t xml:space="preserve">The Emergency Management </w:t>
      </w:r>
      <w:r w:rsidRPr="00515807">
        <w:rPr>
          <w:rFonts w:eastAsia="Cambria"/>
        </w:rPr>
        <w:t>Prioritisatio</w:t>
      </w:r>
      <w:r>
        <w:rPr>
          <w:rFonts w:eastAsia="Cambria"/>
        </w:rPr>
        <w:t xml:space="preserve">n Tool </w:t>
      </w:r>
      <w:r w:rsidRPr="00515807">
        <w:rPr>
          <w:rFonts w:eastAsia="Cambria"/>
        </w:rPr>
        <w:t>is a self-assessment activity</w:t>
      </w:r>
      <w:r>
        <w:rPr>
          <w:rFonts w:eastAsia="Cambria"/>
        </w:rPr>
        <w:t>. It can be applied by entities across all levels and phases of the disaster management arrangements</w:t>
      </w:r>
      <w:r w:rsidRPr="00515807">
        <w:rPr>
          <w:rFonts w:eastAsia="Cambria"/>
        </w:rPr>
        <w:t>.</w:t>
      </w:r>
      <w:r>
        <w:rPr>
          <w:rFonts w:eastAsia="Cambria"/>
        </w:rPr>
        <w:t xml:space="preserve"> </w:t>
      </w:r>
    </w:p>
    <w:p w14:paraId="5225913C" w14:textId="77777777" w:rsidR="00771EF0" w:rsidRDefault="00771EF0" w:rsidP="00577601">
      <w:pPr>
        <w:ind w:left="-142"/>
        <w:rPr>
          <w:rFonts w:eastAsia="Cambria"/>
        </w:rPr>
      </w:pPr>
      <w:r>
        <w:rPr>
          <w:rFonts w:eastAsia="Cambria"/>
        </w:rPr>
        <w:t xml:space="preserve">It </w:t>
      </w:r>
      <w:r w:rsidRPr="00515807">
        <w:rPr>
          <w:rFonts w:eastAsia="Cambria"/>
        </w:rPr>
        <w:t>enable</w:t>
      </w:r>
      <w:r>
        <w:rPr>
          <w:rFonts w:eastAsia="Cambria"/>
        </w:rPr>
        <w:t>s</w:t>
      </w:r>
      <w:r w:rsidRPr="00515807">
        <w:rPr>
          <w:rFonts w:eastAsia="Cambria"/>
        </w:rPr>
        <w:t xml:space="preserve"> </w:t>
      </w:r>
      <w:r>
        <w:rPr>
          <w:rFonts w:eastAsia="Cambria"/>
        </w:rPr>
        <w:t xml:space="preserve">practitioners </w:t>
      </w:r>
      <w:r w:rsidRPr="00515807">
        <w:rPr>
          <w:rFonts w:eastAsia="Cambria"/>
        </w:rPr>
        <w:t xml:space="preserve">to undertake a health check of their </w:t>
      </w:r>
      <w:r>
        <w:rPr>
          <w:rFonts w:eastAsia="Cambria"/>
        </w:rPr>
        <w:t>current</w:t>
      </w:r>
      <w:r w:rsidRPr="00515807">
        <w:rPr>
          <w:rFonts w:eastAsia="Cambria"/>
        </w:rPr>
        <w:t xml:space="preserve"> arrangements</w:t>
      </w:r>
      <w:r>
        <w:rPr>
          <w:rFonts w:eastAsia="Cambria"/>
        </w:rPr>
        <w:t xml:space="preserve">, and assists them </w:t>
      </w:r>
      <w:r w:rsidRPr="00515807">
        <w:rPr>
          <w:rFonts w:eastAsia="Cambria"/>
        </w:rPr>
        <w:t>to prioritise actions to improve their disaster management capabilities and functions.</w:t>
      </w:r>
    </w:p>
    <w:p w14:paraId="06419C8B" w14:textId="4FFBCB9C" w:rsidR="00771EF0" w:rsidRPr="00515807" w:rsidRDefault="00771EF0" w:rsidP="00577601">
      <w:pPr>
        <w:ind w:left="-142"/>
        <w:rPr>
          <w:rFonts w:eastAsia="Cambria"/>
        </w:rPr>
      </w:pPr>
      <w:r>
        <w:rPr>
          <w:rFonts w:eastAsia="Cambria"/>
        </w:rPr>
        <w:t>On completion, entities receive immediate feedback</w:t>
      </w:r>
      <w:r w:rsidRPr="00FE7DED">
        <w:rPr>
          <w:rFonts w:eastAsia="Cambria"/>
        </w:rPr>
        <w:t xml:space="preserve"> </w:t>
      </w:r>
      <w:r w:rsidRPr="00515807">
        <w:rPr>
          <w:rFonts w:eastAsia="Cambria"/>
        </w:rPr>
        <w:t>against the Standard</w:t>
      </w:r>
      <w:r>
        <w:rPr>
          <w:rFonts w:eastAsia="Cambria"/>
        </w:rPr>
        <w:t xml:space="preserve"> in Queensland. They are also directed to a range of resources that can be used to improve their disaster management capabilities and functions. </w:t>
      </w:r>
    </w:p>
    <w:p w14:paraId="1E1F29A2" w14:textId="0EA185A7" w:rsidR="00771EF0" w:rsidRDefault="00771EF0" w:rsidP="00577601">
      <w:pPr>
        <w:ind w:left="-142"/>
        <w:rPr>
          <w:rFonts w:eastAsia="Cambria"/>
        </w:rPr>
      </w:pPr>
      <w:r>
        <w:rPr>
          <w:rFonts w:eastAsia="Cambria"/>
        </w:rPr>
        <w:t>In 2016-17, the Office of the IGEM encouraged entities to use the Prioritisation Tool in preparation for the disaster management plan assessment process (refer page</w:t>
      </w:r>
      <w:r w:rsidR="00D47F14">
        <w:rPr>
          <w:rFonts w:eastAsia="Cambria"/>
        </w:rPr>
        <w:t xml:space="preserve"> 22</w:t>
      </w:r>
      <w:r>
        <w:rPr>
          <w:rFonts w:eastAsia="Cambria"/>
        </w:rPr>
        <w:t xml:space="preserve">). </w:t>
      </w:r>
    </w:p>
    <w:p w14:paraId="2C8CFAFA" w14:textId="77777777" w:rsidR="00771EF0" w:rsidRPr="00515807" w:rsidRDefault="00771EF0" w:rsidP="00577601">
      <w:pPr>
        <w:ind w:left="-142"/>
        <w:rPr>
          <w:rFonts w:eastAsia="Cambria"/>
        </w:rPr>
      </w:pPr>
      <w:r w:rsidRPr="00515807">
        <w:rPr>
          <w:rFonts w:eastAsia="Cambria"/>
        </w:rPr>
        <w:t xml:space="preserve">The Prioritisation Tool is available at </w:t>
      </w:r>
      <w:hyperlink r:id="rId64" w:history="1">
        <w:r w:rsidRPr="000D287B">
          <w:rPr>
            <w:rStyle w:val="Hyperlink"/>
            <w:rFonts w:eastAsia="Cambria"/>
          </w:rPr>
          <w:t>www.igem.qld.gov.au/assurance-framework/Pages/Prioritisation-Tool.aspx</w:t>
        </w:r>
      </w:hyperlink>
      <w:r w:rsidRPr="00072961">
        <w:rPr>
          <w:rFonts w:eastAsia="Cambria"/>
        </w:rPr>
        <w:t>.</w:t>
      </w:r>
      <w:r>
        <w:rPr>
          <w:rFonts w:eastAsia="Cambria"/>
          <w:color w:val="AB054C"/>
          <w:u w:val="single"/>
        </w:rPr>
        <w:t xml:space="preserve"> </w:t>
      </w:r>
    </w:p>
    <w:p w14:paraId="37851B78" w14:textId="77777777" w:rsidR="00771EF0" w:rsidRDefault="00771EF0" w:rsidP="00771EF0">
      <w:pPr>
        <w:tabs>
          <w:tab w:val="left" w:pos="567"/>
          <w:tab w:val="left" w:pos="1107"/>
        </w:tabs>
        <w:rPr>
          <w:rFonts w:eastAsia="Calibri"/>
          <w:b/>
          <w:highlight w:val="green"/>
        </w:rPr>
      </w:pPr>
    </w:p>
    <w:p w14:paraId="459DE4F2" w14:textId="77777777" w:rsidR="005D39C6" w:rsidRDefault="005D39C6">
      <w:pPr>
        <w:rPr>
          <w:rFonts w:eastAsia="Calibri"/>
          <w:b/>
          <w:kern w:val="0"/>
          <w:szCs w:val="22"/>
          <w:lang w:val="en-AU" w:eastAsia="en-US"/>
        </w:rPr>
      </w:pPr>
      <w:r>
        <w:rPr>
          <w:rFonts w:eastAsia="Calibri"/>
          <w:b/>
          <w:kern w:val="0"/>
          <w:szCs w:val="22"/>
          <w:lang w:val="en-AU" w:eastAsia="en-US"/>
        </w:rPr>
        <w:br w:type="page"/>
      </w:r>
    </w:p>
    <w:p w14:paraId="647EF213" w14:textId="77777777" w:rsidR="000F164D" w:rsidRPr="00126F4C" w:rsidRDefault="00C935C0" w:rsidP="0081782B">
      <w:pPr>
        <w:rPr>
          <w:rFonts w:eastAsia="Calibri"/>
          <w:i/>
          <w:szCs w:val="22"/>
          <w:highlight w:val="yellow"/>
        </w:rPr>
      </w:pPr>
      <w:r>
        <w:rPr>
          <w:rFonts w:eastAsia="Calibri"/>
          <w:noProof/>
          <w:szCs w:val="22"/>
          <w:lang w:val="en-AU" w:eastAsia="en-AU"/>
        </w:rPr>
        <w:lastRenderedPageBreak/>
        <mc:AlternateContent>
          <mc:Choice Requires="wpg">
            <w:drawing>
              <wp:anchor distT="0" distB="0" distL="114300" distR="114300" simplePos="0" relativeHeight="251660288" behindDoc="0" locked="0" layoutInCell="1" allowOverlap="1" wp14:anchorId="348B8376" wp14:editId="5A44C977">
                <wp:simplePos x="0" y="0"/>
                <wp:positionH relativeFrom="margin">
                  <wp:posOffset>-81915</wp:posOffset>
                </wp:positionH>
                <wp:positionV relativeFrom="paragraph">
                  <wp:posOffset>198756</wp:posOffset>
                </wp:positionV>
                <wp:extent cx="6479540" cy="4895850"/>
                <wp:effectExtent l="19050" t="19050" r="16510" b="19050"/>
                <wp:wrapNone/>
                <wp:docPr id="233" name="Group 233"/>
                <wp:cNvGraphicFramePr/>
                <a:graphic xmlns:a="http://schemas.openxmlformats.org/drawingml/2006/main">
                  <a:graphicData uri="http://schemas.microsoft.com/office/word/2010/wordprocessingGroup">
                    <wpg:wgp>
                      <wpg:cNvGrpSpPr/>
                      <wpg:grpSpPr>
                        <a:xfrm>
                          <a:off x="0" y="0"/>
                          <a:ext cx="6479540" cy="4895850"/>
                          <a:chOff x="0" y="1"/>
                          <a:chExt cx="6479540" cy="3529131"/>
                        </a:xfrm>
                      </wpg:grpSpPr>
                      <wps:wsp>
                        <wps:cNvPr id="130" name="Rounded Rectangle 130"/>
                        <wps:cNvSpPr/>
                        <wps:spPr>
                          <a:xfrm>
                            <a:off x="0" y="1"/>
                            <a:ext cx="6479540" cy="3529131"/>
                          </a:xfrm>
                          <a:prstGeom prst="roundRect">
                            <a:avLst/>
                          </a:prstGeom>
                          <a:solidFill>
                            <a:srgbClr val="AB054C">
                              <a:alpha val="98000"/>
                            </a:srgbClr>
                          </a:solidFill>
                          <a:ln w="28575" cap="flat" cmpd="sng" algn="ctr">
                            <a:solidFill>
                              <a:srgbClr val="8A002E"/>
                            </a:solidFill>
                            <a:prstDash val="solid"/>
                          </a:ln>
                          <a:effectLst/>
                        </wps:spPr>
                        <wps:txbx>
                          <w:txbxContent>
                            <w:p w14:paraId="5B26F5A6" w14:textId="77777777" w:rsidR="00CE542E" w:rsidRPr="00F11267" w:rsidRDefault="00CE542E" w:rsidP="000F164D">
                              <w:pPr>
                                <w:pStyle w:val="Heading4"/>
                                <w:rPr>
                                  <w:rFonts w:ascii="Arial" w:hAnsi="Arial" w:cs="Arial"/>
                                </w:rPr>
                              </w:pPr>
                              <w:bookmarkStart w:id="129" w:name="_Toc459712714"/>
                              <w:bookmarkStart w:id="130" w:name="_Toc460404386"/>
                              <w:r>
                                <w:rPr>
                                  <w:rFonts w:ascii="Arial" w:hAnsi="Arial" w:cs="Arial"/>
                                </w:rPr>
                                <w:t>Objective Three</w:t>
                              </w:r>
                              <w:bookmarkEnd w:id="129"/>
                              <w:bookmarkEnd w:id="130"/>
                            </w:p>
                          </w:txbxContent>
                        </wps:txbx>
                        <wps:bodyPr rot="0" spcFirstLastPara="0" vertOverflow="overflow" horzOverflow="overflow" vert="horz" wrap="square" lIns="216000" tIns="0" rIns="91440" bIns="45720" numCol="1" spcCol="0" rtlCol="0" fromWordArt="0" anchor="t" anchorCtr="0" forceAA="0" compatLnSpc="1">
                          <a:prstTxWarp prst="textNoShape">
                            <a:avLst/>
                          </a:prstTxWarp>
                          <a:noAutofit/>
                        </wps:bodyPr>
                      </wps:wsp>
                      <wps:wsp>
                        <wps:cNvPr id="135" name="Rounded Rectangle 135"/>
                        <wps:cNvSpPr/>
                        <wps:spPr>
                          <a:xfrm>
                            <a:off x="238125" y="485552"/>
                            <a:ext cx="2051685" cy="2845435"/>
                          </a:xfrm>
                          <a:prstGeom prst="roundRect">
                            <a:avLst/>
                          </a:prstGeom>
                          <a:solidFill>
                            <a:srgbClr val="960443"/>
                          </a:solidFill>
                          <a:ln w="28575" cap="flat" cmpd="sng" algn="ctr">
                            <a:solidFill>
                              <a:schemeClr val="bg1">
                                <a:lumMod val="95000"/>
                              </a:schemeClr>
                            </a:solidFill>
                            <a:prstDash val="solid"/>
                          </a:ln>
                          <a:effectLst/>
                        </wps:spPr>
                        <wps:txbx>
                          <w:txbxContent>
                            <w:p w14:paraId="12D1C3D2" w14:textId="77777777" w:rsidR="00CE542E" w:rsidRPr="00515807" w:rsidRDefault="00CE542E" w:rsidP="00771EF0">
                              <w:pPr>
                                <w:spacing w:after="0"/>
                                <w:contextualSpacing/>
                                <w:rPr>
                                  <w:rFonts w:eastAsia="Times New Roman"/>
                                  <w:color w:val="F2F2F2"/>
                                  <w:szCs w:val="24"/>
                                  <w:lang w:eastAsia="en-AU"/>
                                </w:rPr>
                              </w:pPr>
                              <w:r>
                                <w:rPr>
                                  <w:i/>
                                </w:rPr>
                                <w:t>D</w:t>
                              </w:r>
                              <w:r w:rsidRPr="004D56F3">
                                <w:rPr>
                                  <w:i/>
                                </w:rPr>
                                <w:t xml:space="preserve">rive a culture of excellence </w:t>
                              </w:r>
                              <w:r>
                                <w:rPr>
                                  <w:i/>
                                </w:rPr>
                                <w:t xml:space="preserve">and innovation </w:t>
                              </w:r>
                              <w:r w:rsidRPr="004D56F3">
                                <w:rPr>
                                  <w:i/>
                                </w:rPr>
                                <w:t>across the emergency management sector by connecting stakeholders, creating partnerships and marshalling expertise.</w:t>
                              </w:r>
                            </w:p>
                            <w:p w14:paraId="35A894C3" w14:textId="60B4CAB7" w:rsidR="00CE542E" w:rsidRPr="00161F25" w:rsidRDefault="00CE542E" w:rsidP="000F164D">
                              <w:pPr>
                                <w:spacing w:before="0" w:after="0"/>
                                <w:contextualSpacing/>
                                <w:rPr>
                                  <w:rFonts w:eastAsia="Times New Roman"/>
                                  <w:color w:val="F2F2F2" w:themeColor="background1" w:themeShade="F2"/>
                                  <w:kern w:val="0"/>
                                  <w:szCs w:val="24"/>
                                  <w:lang w:val="en-AU"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s:wsp>
                        <wps:cNvPr id="136" name="Rounded Rectangle 136"/>
                        <wps:cNvSpPr/>
                        <wps:spPr>
                          <a:xfrm>
                            <a:off x="2447925" y="485552"/>
                            <a:ext cx="3881755" cy="2845435"/>
                          </a:xfrm>
                          <a:prstGeom prst="roundRect">
                            <a:avLst/>
                          </a:prstGeom>
                          <a:solidFill>
                            <a:srgbClr val="8A043D"/>
                          </a:solidFill>
                          <a:ln w="28575" cap="flat" cmpd="sng" algn="ctr">
                            <a:solidFill>
                              <a:schemeClr val="bg1"/>
                            </a:solidFill>
                            <a:prstDash val="solid"/>
                          </a:ln>
                          <a:effectLst/>
                        </wps:spPr>
                        <wps:txbx>
                          <w:txbxContent>
                            <w:p w14:paraId="099A3FCD"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D8E5756" w14:textId="77777777" w:rsidR="00CE542E" w:rsidRPr="004D56F3" w:rsidRDefault="00CE542E" w:rsidP="00771EF0">
                              <w:pPr>
                                <w:pStyle w:val="1"/>
                                <w:numPr>
                                  <w:ilvl w:val="0"/>
                                  <w:numId w:val="17"/>
                                </w:numPr>
                                <w:spacing w:before="0" w:after="0"/>
                              </w:pPr>
                              <w:r>
                                <w:t xml:space="preserve">Encourage and harness trusted partnerships, enabled by transparent systems and processes that </w:t>
                              </w:r>
                              <w:r w:rsidRPr="004D56F3">
                                <w:t>promote innovation, interoperability, consultation and knowledge transfer across the emergency management sector.</w:t>
                              </w:r>
                            </w:p>
                            <w:p w14:paraId="58B98377" w14:textId="77777777" w:rsidR="00CE542E" w:rsidRPr="004D56F3" w:rsidRDefault="00CE542E" w:rsidP="00771EF0">
                              <w:pPr>
                                <w:pStyle w:val="1"/>
                                <w:numPr>
                                  <w:ilvl w:val="0"/>
                                  <w:numId w:val="17"/>
                                </w:numPr>
                                <w:spacing w:before="0" w:after="0"/>
                              </w:pPr>
                              <w:r>
                                <w:t xml:space="preserve">Connect and engage with stakeholders through key </w:t>
                              </w:r>
                              <w:r w:rsidRPr="004D56F3">
                                <w:t>platforms that enable timely and open communication</w:t>
                              </w:r>
                              <w:r>
                                <w:t xml:space="preserve"> and help us to understand their needs</w:t>
                              </w:r>
                              <w:r w:rsidRPr="004D56F3">
                                <w:t>.</w:t>
                              </w:r>
                            </w:p>
                            <w:p w14:paraId="5FF54492" w14:textId="77777777" w:rsidR="00CE542E" w:rsidRPr="004D56F3" w:rsidRDefault="00CE542E" w:rsidP="00771EF0">
                              <w:pPr>
                                <w:pStyle w:val="1"/>
                                <w:numPr>
                                  <w:ilvl w:val="0"/>
                                  <w:numId w:val="17"/>
                                </w:numPr>
                                <w:spacing w:before="0" w:after="0"/>
                              </w:pPr>
                              <w:r>
                                <w:t xml:space="preserve">Integrate lessons identified, research, analysis and </w:t>
                              </w:r>
                              <w:r w:rsidRPr="004D56F3">
                                <w:t xml:space="preserve">good practice </w:t>
                              </w:r>
                              <w:r>
                                <w:t>into the provision of evidence-based emergency management policy and advice.</w:t>
                              </w:r>
                            </w:p>
                            <w:p w14:paraId="5F5474CC" w14:textId="77777777" w:rsidR="00CE542E" w:rsidRPr="00591EE1" w:rsidRDefault="00CE542E" w:rsidP="00771EF0">
                              <w:pPr>
                                <w:pStyle w:val="1"/>
                                <w:numPr>
                                  <w:ilvl w:val="0"/>
                                  <w:numId w:val="17"/>
                                </w:numPr>
                                <w:spacing w:before="0" w:after="0"/>
                              </w:pPr>
                              <w:r>
                                <w:t xml:space="preserve">Provide timely, clear and helpful information and advice that </w:t>
                              </w:r>
                              <w:r w:rsidRPr="004D56F3">
                                <w:t>enhance</w:t>
                              </w:r>
                              <w:r>
                                <w:t>s</w:t>
                              </w:r>
                              <w:r w:rsidRPr="004D56F3">
                                <w:t xml:space="preserve"> links between emergency management and interdependent policy and programs.</w:t>
                              </w:r>
                            </w:p>
                            <w:p w14:paraId="46119531" w14:textId="77777777" w:rsidR="00CE542E" w:rsidRPr="00591EE1" w:rsidRDefault="00CE542E" w:rsidP="00771EF0">
                              <w:pPr>
                                <w:pStyle w:val="ListParagraph"/>
                                <w:numPr>
                                  <w:ilvl w:val="0"/>
                                  <w:numId w:val="17"/>
                                </w:numPr>
                                <w:spacing w:before="0" w:after="160" w:line="259" w:lineRule="auto"/>
                              </w:pPr>
                              <w:r w:rsidRPr="00591EE1">
                                <w:t xml:space="preserve">Promote a </w:t>
                              </w:r>
                              <w:r>
                                <w:t xml:space="preserve">coordinated strategic direction for emergency management in Queensland. </w:t>
                              </w:r>
                            </w:p>
                            <w:p w14:paraId="0B87C4FD" w14:textId="7E8D30E8" w:rsidR="00CE542E" w:rsidRPr="00161F25" w:rsidRDefault="00CE542E" w:rsidP="00771EF0">
                              <w:pPr>
                                <w:pStyle w:val="ListParagraph"/>
                                <w:spacing w:before="0" w:after="0"/>
                                <w:ind w:left="360"/>
                                <w:rPr>
                                  <w:rFonts w:eastAsia="+mn-ea"/>
                                  <w:color w:val="FFFFFF" w:themeColor="background1"/>
                                  <w:kern w:val="0"/>
                                  <w:szCs w:val="22"/>
                                  <w:lang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8B8376" id="Group 233" o:spid="_x0000_s1034" style="position:absolute;margin-left:-6.45pt;margin-top:15.65pt;width:510.2pt;height:385.5pt;z-index:251660288;mso-position-horizontal-relative:margin;mso-height-relative:margin" coordorigin="" coordsize="64795,35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">
                <v:roundrect id="Rounded Rectangle 130" o:spid="_x0000_s1035" style="position:absolute;width:64795;height:3529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9kbsQA&#10;AADcAAAADwAAAGRycy9kb3ducmV2LnhtbESPQUsDQQyF74L/YUjBm51tLSLbTksRCh4UalVob2En&#10;3Vm6kyw7Y7v665uD4O2FvHx5b7EaYmvO1KdG2MFkXIAhrsQ3XDv4/NjcP4FJGdljK0wOfijBanl7&#10;s8DSy4Xf6bzLtVEIpxIdhJy70tpUBYqYxtIR6+4ofcSsY19b3+NF4bG106J4tBEb1g8BO3oOVJ12&#10;31EpeAi/IlzN9p1st2Gdv15Pb87djYb1HEymIf+b/65fvMZ/0PhaRhXY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fZG7EAAAA3AAAAA8AAAAAAAAAAAAAAAAAmAIAAGRycy9k&#10;b3ducmV2LnhtbFBLBQYAAAAABAAEAPUAAACJAwAAAAA=&#10;" fillcolor="#ab054c" strokecolor="#8a002e" strokeweight="2.25pt">
                  <v:fill opacity="64250f"/>
                  <v:textbox inset="6mm,0">
                    <w:txbxContent>
                      <w:p w14:paraId="5B26F5A6" w14:textId="77777777" w:rsidR="00CE542E" w:rsidRPr="00F11267" w:rsidRDefault="00CE542E" w:rsidP="000F164D">
                        <w:pPr>
                          <w:pStyle w:val="Heading4"/>
                          <w:rPr>
                            <w:rFonts w:ascii="Arial" w:hAnsi="Arial" w:cs="Arial"/>
                          </w:rPr>
                        </w:pPr>
                        <w:bookmarkStart w:id="135" w:name="_Toc459712714"/>
                        <w:bookmarkStart w:id="136" w:name="_Toc460404386"/>
                        <w:r>
                          <w:rPr>
                            <w:rFonts w:ascii="Arial" w:hAnsi="Arial" w:cs="Arial"/>
                          </w:rPr>
                          <w:t>Objective Three</w:t>
                        </w:r>
                        <w:bookmarkEnd w:id="135"/>
                        <w:bookmarkEnd w:id="136"/>
                      </w:p>
                    </w:txbxContent>
                  </v:textbox>
                </v:roundrect>
                <v:roundrect id="Rounded Rectangle 135" o:spid="_x0000_s1036" style="position:absolute;left:2381;top:4855;width:20517;height:2845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kyMAA&#10;AADcAAAADwAAAGRycy9kb3ducmV2LnhtbERPy6rCMBDdC/5DGMGdpiq9SDWKCD4W14VVdDs0Y1ts&#10;JqWJWv/eXBDubg7nOfNlayrxpMaVlhWMhhEI4szqknMF59NmMAXhPLLGyjIpeJOD5aLbmWOi7YuP&#10;9Ex9LkIIuwQVFN7XiZQuK8igG9qaOHA32xj0ATa51A2+Qrip5DiKfqTBkkNDgTWtC8ru6cMowNuO&#10;tib+jVM9vdvD9Xh5rx8Xpfq9djUD4an1/+Kve6/D/EkMf8+EC+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LkyMAAAADcAAAADwAAAAAAAAAAAAAAAACYAgAAZHJzL2Rvd25y&#10;ZXYueG1sUEsFBgAAAAAEAAQA9QAAAIUDAAAAAA==&#10;" fillcolor="#960443" strokecolor="#f2f2f2 [3052]" strokeweight="2.25pt">
                  <v:textbox inset=",1mm,,1mm">
                    <w:txbxContent>
                      <w:p w14:paraId="12D1C3D2" w14:textId="77777777" w:rsidR="00CE542E" w:rsidRPr="00515807" w:rsidRDefault="00CE542E" w:rsidP="00771EF0">
                        <w:pPr>
                          <w:spacing w:after="0"/>
                          <w:contextualSpacing/>
                          <w:rPr>
                            <w:rFonts w:eastAsia="Times New Roman"/>
                            <w:color w:val="F2F2F2"/>
                            <w:szCs w:val="24"/>
                            <w:lang w:eastAsia="en-AU"/>
                          </w:rPr>
                        </w:pPr>
                        <w:r>
                          <w:rPr>
                            <w:i/>
                          </w:rPr>
                          <w:t>D</w:t>
                        </w:r>
                        <w:r w:rsidRPr="004D56F3">
                          <w:rPr>
                            <w:i/>
                          </w:rPr>
                          <w:t xml:space="preserve">rive a culture of excellence </w:t>
                        </w:r>
                        <w:r>
                          <w:rPr>
                            <w:i/>
                          </w:rPr>
                          <w:t xml:space="preserve">and innovation </w:t>
                        </w:r>
                        <w:r w:rsidRPr="004D56F3">
                          <w:rPr>
                            <w:i/>
                          </w:rPr>
                          <w:t>across the emergency management sector by connecting stakeholders, creating partnerships and marshalling expertise.</w:t>
                        </w:r>
                      </w:p>
                      <w:p w14:paraId="35A894C3" w14:textId="60B4CAB7" w:rsidR="00CE542E" w:rsidRPr="00161F25" w:rsidRDefault="00CE542E" w:rsidP="000F164D">
                        <w:pPr>
                          <w:spacing w:before="0" w:after="0"/>
                          <w:contextualSpacing/>
                          <w:rPr>
                            <w:rFonts w:eastAsia="Times New Roman"/>
                            <w:color w:val="F2F2F2" w:themeColor="background1" w:themeShade="F2"/>
                            <w:kern w:val="0"/>
                            <w:szCs w:val="24"/>
                            <w:lang w:val="en-AU" w:eastAsia="en-AU"/>
                          </w:rPr>
                        </w:pPr>
                      </w:p>
                    </w:txbxContent>
                  </v:textbox>
                </v:roundrect>
                <v:roundrect id="Rounded Rectangle 136" o:spid="_x0000_s1037" style="position:absolute;left:24479;top:4855;width:38817;height:2845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uQ4sIA&#10;AADcAAAADwAAAGRycy9kb3ducmV2LnhtbERPS2vCQBC+F/oflil4qxsrSImu4oOKp0ITQY9Ddkyi&#10;2dmwu5ror+8WCt7m43vObNGbRtzI+dqygtEwAUFcWF1zqWCff71/gvABWWNjmRTcycNi/voyw1Tb&#10;jn/oloVSxBD2KSqoQmhTKX1RkUE/tC1x5E7WGQwRulJqh10MN438SJKJNFhzbKiwpXVFxSW7GgWb&#10;lbsft+fD3mV8yPJLl7vH91mpwVu/nIII1Ien+N+903H+eAJ/z8QL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5DiwgAAANwAAAAPAAAAAAAAAAAAAAAAAJgCAABkcnMvZG93&#10;bnJldi54bWxQSwUGAAAAAAQABAD1AAAAhwMAAAAA&#10;" fillcolor="#8a043d" strokecolor="white [3212]" strokeweight="2.25pt">
                  <v:textbox inset=",1mm,,1mm">
                    <w:txbxContent>
                      <w:p w14:paraId="099A3FCD"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D8E5756" w14:textId="77777777" w:rsidR="00CE542E" w:rsidRPr="004D56F3" w:rsidRDefault="00CE542E" w:rsidP="00771EF0">
                        <w:pPr>
                          <w:pStyle w:val="1"/>
                          <w:numPr>
                            <w:ilvl w:val="0"/>
                            <w:numId w:val="17"/>
                          </w:numPr>
                          <w:spacing w:before="0" w:after="0"/>
                        </w:pPr>
                        <w:r>
                          <w:t xml:space="preserve">Encourage and harness trusted partnerships, enabled by transparent systems and processes that </w:t>
                        </w:r>
                        <w:r w:rsidRPr="004D56F3">
                          <w:t>promote innovation, interoperability, consultation and knowledge transfer across the emergency management sector.</w:t>
                        </w:r>
                      </w:p>
                      <w:p w14:paraId="58B98377" w14:textId="77777777" w:rsidR="00CE542E" w:rsidRPr="004D56F3" w:rsidRDefault="00CE542E" w:rsidP="00771EF0">
                        <w:pPr>
                          <w:pStyle w:val="1"/>
                          <w:numPr>
                            <w:ilvl w:val="0"/>
                            <w:numId w:val="17"/>
                          </w:numPr>
                          <w:spacing w:before="0" w:after="0"/>
                        </w:pPr>
                        <w:r>
                          <w:t xml:space="preserve">Connect and engage with stakeholders through key </w:t>
                        </w:r>
                        <w:r w:rsidRPr="004D56F3">
                          <w:t>platforms that enable timely and open communication</w:t>
                        </w:r>
                        <w:r>
                          <w:t xml:space="preserve"> and help us to understand their needs</w:t>
                        </w:r>
                        <w:r w:rsidRPr="004D56F3">
                          <w:t>.</w:t>
                        </w:r>
                      </w:p>
                      <w:p w14:paraId="5FF54492" w14:textId="77777777" w:rsidR="00CE542E" w:rsidRPr="004D56F3" w:rsidRDefault="00CE542E" w:rsidP="00771EF0">
                        <w:pPr>
                          <w:pStyle w:val="1"/>
                          <w:numPr>
                            <w:ilvl w:val="0"/>
                            <w:numId w:val="17"/>
                          </w:numPr>
                          <w:spacing w:before="0" w:after="0"/>
                        </w:pPr>
                        <w:r>
                          <w:t xml:space="preserve">Integrate lessons identified, research, analysis and </w:t>
                        </w:r>
                        <w:r w:rsidRPr="004D56F3">
                          <w:t xml:space="preserve">good practice </w:t>
                        </w:r>
                        <w:r>
                          <w:t>into the provision of evidence-based emergency management policy and advice.</w:t>
                        </w:r>
                      </w:p>
                      <w:p w14:paraId="5F5474CC" w14:textId="77777777" w:rsidR="00CE542E" w:rsidRPr="00591EE1" w:rsidRDefault="00CE542E" w:rsidP="00771EF0">
                        <w:pPr>
                          <w:pStyle w:val="1"/>
                          <w:numPr>
                            <w:ilvl w:val="0"/>
                            <w:numId w:val="17"/>
                          </w:numPr>
                          <w:spacing w:before="0" w:after="0"/>
                        </w:pPr>
                        <w:r>
                          <w:t xml:space="preserve">Provide timely, clear and helpful information and advice that </w:t>
                        </w:r>
                        <w:r w:rsidRPr="004D56F3">
                          <w:t>enhance</w:t>
                        </w:r>
                        <w:r>
                          <w:t>s</w:t>
                        </w:r>
                        <w:r w:rsidRPr="004D56F3">
                          <w:t xml:space="preserve"> links between emergency management and interdependent policy and programs.</w:t>
                        </w:r>
                      </w:p>
                      <w:p w14:paraId="46119531" w14:textId="77777777" w:rsidR="00CE542E" w:rsidRPr="00591EE1" w:rsidRDefault="00CE542E" w:rsidP="00771EF0">
                        <w:pPr>
                          <w:pStyle w:val="ListParagraph"/>
                          <w:numPr>
                            <w:ilvl w:val="0"/>
                            <w:numId w:val="17"/>
                          </w:numPr>
                          <w:spacing w:before="0" w:after="160" w:line="259" w:lineRule="auto"/>
                        </w:pPr>
                        <w:r w:rsidRPr="00591EE1">
                          <w:t xml:space="preserve">Promote a </w:t>
                        </w:r>
                        <w:r>
                          <w:t xml:space="preserve">coordinated strategic direction for emergency management in Queensland. </w:t>
                        </w:r>
                      </w:p>
                      <w:p w14:paraId="0B87C4FD" w14:textId="7E8D30E8" w:rsidR="00CE542E" w:rsidRPr="00161F25" w:rsidRDefault="00CE542E" w:rsidP="00771EF0">
                        <w:pPr>
                          <w:pStyle w:val="ListParagraph"/>
                          <w:spacing w:before="0" w:after="0"/>
                          <w:ind w:left="360"/>
                          <w:rPr>
                            <w:rFonts w:eastAsia="+mn-ea"/>
                            <w:color w:val="FFFFFF" w:themeColor="background1"/>
                            <w:kern w:val="0"/>
                            <w:szCs w:val="22"/>
                            <w:lang w:eastAsia="en-AU"/>
                          </w:rPr>
                        </w:pPr>
                      </w:p>
                    </w:txbxContent>
                  </v:textbox>
                </v:roundrect>
                <w10:wrap anchorx="margin"/>
              </v:group>
            </w:pict>
          </mc:Fallback>
        </mc:AlternateContent>
      </w:r>
    </w:p>
    <w:p w14:paraId="75199EB0" w14:textId="77777777" w:rsidR="0041644D" w:rsidRDefault="0041644D" w:rsidP="000F164D">
      <w:pPr>
        <w:rPr>
          <w:rFonts w:eastAsia="Calibri"/>
          <w:i/>
          <w:szCs w:val="22"/>
          <w:highlight w:val="yellow"/>
        </w:rPr>
      </w:pPr>
    </w:p>
    <w:p w14:paraId="72E9B354" w14:textId="77777777" w:rsidR="0041644D" w:rsidRDefault="0041644D" w:rsidP="000F164D">
      <w:pPr>
        <w:rPr>
          <w:rFonts w:eastAsia="Calibri"/>
          <w:i/>
          <w:szCs w:val="22"/>
          <w:highlight w:val="yellow"/>
        </w:rPr>
      </w:pPr>
    </w:p>
    <w:p w14:paraId="0A91A537" w14:textId="77777777" w:rsidR="0041644D" w:rsidRDefault="0041644D" w:rsidP="000F164D">
      <w:pPr>
        <w:rPr>
          <w:rFonts w:eastAsia="Calibri"/>
          <w:i/>
          <w:szCs w:val="22"/>
          <w:highlight w:val="yellow"/>
        </w:rPr>
      </w:pPr>
    </w:p>
    <w:p w14:paraId="107BE0A9" w14:textId="77777777" w:rsidR="0041644D" w:rsidRDefault="0041644D" w:rsidP="000F164D">
      <w:pPr>
        <w:rPr>
          <w:rFonts w:eastAsia="Calibri"/>
          <w:i/>
          <w:szCs w:val="22"/>
          <w:highlight w:val="yellow"/>
        </w:rPr>
      </w:pPr>
    </w:p>
    <w:p w14:paraId="7B667747" w14:textId="77777777" w:rsidR="0041644D" w:rsidRPr="00126F4C" w:rsidRDefault="0041644D" w:rsidP="000F164D">
      <w:pPr>
        <w:rPr>
          <w:rFonts w:eastAsia="Calibri"/>
          <w:i/>
          <w:szCs w:val="22"/>
          <w:highlight w:val="yellow"/>
        </w:rPr>
      </w:pPr>
    </w:p>
    <w:p w14:paraId="24FACE5D" w14:textId="77777777" w:rsidR="000F164D" w:rsidRDefault="000F164D" w:rsidP="000F164D">
      <w:pPr>
        <w:rPr>
          <w:rFonts w:eastAsia="Calibri"/>
          <w:szCs w:val="22"/>
          <w:highlight w:val="yellow"/>
        </w:rPr>
      </w:pPr>
    </w:p>
    <w:p w14:paraId="44CB8B18" w14:textId="77777777" w:rsidR="000F164D" w:rsidRDefault="000F164D" w:rsidP="000F164D">
      <w:pPr>
        <w:rPr>
          <w:rFonts w:eastAsia="Calibri"/>
          <w:szCs w:val="22"/>
          <w:highlight w:val="yellow"/>
        </w:rPr>
      </w:pPr>
    </w:p>
    <w:p w14:paraId="4FA3F23B" w14:textId="77777777" w:rsidR="000F164D" w:rsidRDefault="000F164D" w:rsidP="000F164D">
      <w:pPr>
        <w:rPr>
          <w:rFonts w:eastAsia="Calibri"/>
          <w:szCs w:val="22"/>
          <w:highlight w:val="yellow"/>
        </w:rPr>
      </w:pPr>
    </w:p>
    <w:p w14:paraId="5F90AB75" w14:textId="77777777" w:rsidR="000F164D" w:rsidRDefault="000F164D" w:rsidP="000F164D">
      <w:pPr>
        <w:rPr>
          <w:rFonts w:eastAsia="Calibri"/>
          <w:szCs w:val="22"/>
          <w:highlight w:val="yellow"/>
        </w:rPr>
      </w:pPr>
    </w:p>
    <w:p w14:paraId="4C0E822B" w14:textId="77777777" w:rsidR="000F164D" w:rsidRDefault="000F164D" w:rsidP="000F164D">
      <w:pPr>
        <w:rPr>
          <w:rFonts w:eastAsia="Calibri"/>
          <w:szCs w:val="22"/>
          <w:highlight w:val="yellow"/>
        </w:rPr>
      </w:pPr>
    </w:p>
    <w:p w14:paraId="40CBE2E5" w14:textId="77777777" w:rsidR="00771EF0" w:rsidRDefault="00771EF0" w:rsidP="000F164D">
      <w:pPr>
        <w:rPr>
          <w:rFonts w:eastAsia="Calibri"/>
          <w:szCs w:val="22"/>
          <w:highlight w:val="yellow"/>
        </w:rPr>
      </w:pPr>
    </w:p>
    <w:p w14:paraId="68CC4747" w14:textId="77777777" w:rsidR="00771EF0" w:rsidRDefault="00771EF0" w:rsidP="000F164D">
      <w:pPr>
        <w:rPr>
          <w:rFonts w:eastAsia="Calibri"/>
          <w:szCs w:val="22"/>
          <w:highlight w:val="yellow"/>
        </w:rPr>
      </w:pPr>
    </w:p>
    <w:p w14:paraId="7FD751B2" w14:textId="77777777" w:rsidR="00771EF0" w:rsidRDefault="00771EF0" w:rsidP="00577601">
      <w:pPr>
        <w:ind w:left="-142"/>
        <w:rPr>
          <w:rFonts w:eastAsia="Calibri"/>
          <w:szCs w:val="22"/>
          <w:highlight w:val="yellow"/>
        </w:rPr>
      </w:pPr>
    </w:p>
    <w:p w14:paraId="63A47D37" w14:textId="77777777" w:rsidR="000F164D" w:rsidRDefault="000F164D" w:rsidP="000F164D">
      <w:pPr>
        <w:rPr>
          <w:rFonts w:eastAsia="Calibri"/>
          <w:szCs w:val="22"/>
          <w:highlight w:val="yellow"/>
        </w:rPr>
      </w:pPr>
    </w:p>
    <w:p w14:paraId="38649FC4" w14:textId="77777777" w:rsidR="000F164D" w:rsidRDefault="000F164D" w:rsidP="000F164D">
      <w:pPr>
        <w:rPr>
          <w:rFonts w:eastAsia="Calibri"/>
          <w:szCs w:val="22"/>
          <w:highlight w:val="yellow"/>
        </w:rPr>
      </w:pPr>
    </w:p>
    <w:p w14:paraId="0751F48E" w14:textId="77777777" w:rsidR="000F164D" w:rsidRDefault="000F164D" w:rsidP="000F164D">
      <w:pPr>
        <w:rPr>
          <w:rFonts w:eastAsia="Calibri"/>
          <w:szCs w:val="22"/>
          <w:highlight w:val="yellow"/>
        </w:rPr>
      </w:pPr>
    </w:p>
    <w:p w14:paraId="6E1F9099" w14:textId="77777777" w:rsidR="000F164D" w:rsidRDefault="000F164D" w:rsidP="000F164D">
      <w:pPr>
        <w:rPr>
          <w:rFonts w:eastAsia="Calibri"/>
          <w:szCs w:val="22"/>
          <w:highlight w:val="yellow"/>
        </w:rPr>
      </w:pPr>
    </w:p>
    <w:p w14:paraId="4BFB3372" w14:textId="77777777" w:rsidR="000F164D" w:rsidRDefault="000F164D" w:rsidP="000F164D">
      <w:pPr>
        <w:rPr>
          <w:rFonts w:eastAsia="Calibri"/>
          <w:szCs w:val="22"/>
          <w:highlight w:val="yellow"/>
        </w:rPr>
      </w:pPr>
    </w:p>
    <w:p w14:paraId="7EF16B9C" w14:textId="77777777" w:rsidR="000F164D" w:rsidRDefault="000F164D" w:rsidP="000F164D">
      <w:pPr>
        <w:rPr>
          <w:rFonts w:eastAsia="Calibri"/>
          <w:szCs w:val="22"/>
          <w:highlight w:val="yellow"/>
        </w:rPr>
      </w:pPr>
    </w:p>
    <w:p w14:paraId="026610E1" w14:textId="77777777" w:rsidR="00771EF0" w:rsidRDefault="00771EF0" w:rsidP="00771EF0">
      <w:pPr>
        <w:tabs>
          <w:tab w:val="left" w:pos="567"/>
          <w:tab w:val="left" w:pos="1107"/>
        </w:tabs>
        <w:ind w:right="1374"/>
        <w:rPr>
          <w:rFonts w:eastAsia="Calibri"/>
          <w:b/>
        </w:rPr>
      </w:pPr>
    </w:p>
    <w:p w14:paraId="19668752" w14:textId="77777777" w:rsidR="0051425D" w:rsidRDefault="0051425D" w:rsidP="0051425D">
      <w:pPr>
        <w:tabs>
          <w:tab w:val="left" w:pos="567"/>
          <w:tab w:val="left" w:pos="1107"/>
        </w:tabs>
        <w:spacing w:before="240"/>
        <w:ind w:right="1372"/>
        <w:rPr>
          <w:rFonts w:eastAsia="Calibri"/>
          <w:b/>
        </w:rPr>
      </w:pPr>
    </w:p>
    <w:p w14:paraId="3D2D53A7" w14:textId="77777777"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t>Disaster Management Officer Network</w:t>
      </w:r>
    </w:p>
    <w:p w14:paraId="0EEEFC1F" w14:textId="74EA01CE" w:rsidR="00771EF0" w:rsidRDefault="00771EF0" w:rsidP="00577601">
      <w:pPr>
        <w:tabs>
          <w:tab w:val="left" w:pos="567"/>
          <w:tab w:val="left" w:pos="1107"/>
        </w:tabs>
        <w:ind w:left="-142"/>
        <w:rPr>
          <w:rFonts w:eastAsia="Cambria"/>
        </w:rPr>
      </w:pPr>
      <w:r w:rsidRPr="00515807">
        <w:rPr>
          <w:rFonts w:eastAsia="Cambria"/>
        </w:rPr>
        <w:t xml:space="preserve">A statewide network of </w:t>
      </w:r>
      <w:r w:rsidR="002E7439">
        <w:rPr>
          <w:rFonts w:eastAsia="Cambria"/>
        </w:rPr>
        <w:t>DMOs</w:t>
      </w:r>
      <w:r w:rsidRPr="00515807">
        <w:rPr>
          <w:rFonts w:eastAsia="Cambria"/>
        </w:rPr>
        <w:t xml:space="preserve"> </w:t>
      </w:r>
      <w:r>
        <w:rPr>
          <w:rFonts w:eastAsia="Cambria"/>
        </w:rPr>
        <w:t xml:space="preserve">and local disaster coordinators, </w:t>
      </w:r>
      <w:r w:rsidRPr="00515807">
        <w:rPr>
          <w:rFonts w:eastAsia="Cambria"/>
        </w:rPr>
        <w:t>established in November 2015</w:t>
      </w:r>
      <w:r>
        <w:rPr>
          <w:rFonts w:eastAsia="Cambria"/>
        </w:rPr>
        <w:t xml:space="preserve">, continued to successfully operate in 2016-17. </w:t>
      </w:r>
    </w:p>
    <w:p w14:paraId="014AEB8F" w14:textId="471C713A" w:rsidR="00771EF0" w:rsidRDefault="00771EF0" w:rsidP="00577601">
      <w:pPr>
        <w:tabs>
          <w:tab w:val="left" w:pos="567"/>
          <w:tab w:val="left" w:pos="1107"/>
        </w:tabs>
        <w:ind w:left="-142"/>
        <w:rPr>
          <w:rFonts w:eastAsia="Cambria"/>
        </w:rPr>
      </w:pPr>
      <w:r>
        <w:rPr>
          <w:rFonts w:eastAsia="Cambria"/>
        </w:rPr>
        <w:t xml:space="preserve">This </w:t>
      </w:r>
      <w:r w:rsidRPr="00515807">
        <w:rPr>
          <w:rFonts w:eastAsia="Cambria"/>
        </w:rPr>
        <w:t>peer-driven network</w:t>
      </w:r>
      <w:r>
        <w:rPr>
          <w:rFonts w:eastAsia="Cambria"/>
        </w:rPr>
        <w:t xml:space="preserve">, known as the DMO Network, provides a platform for </w:t>
      </w:r>
      <w:r w:rsidRPr="00515807">
        <w:rPr>
          <w:rFonts w:eastAsia="Cambria"/>
        </w:rPr>
        <w:t>local disaster management practitioners t</w:t>
      </w:r>
      <w:r w:rsidR="00420CBF">
        <w:rPr>
          <w:rFonts w:eastAsia="Cambria"/>
        </w:rPr>
        <w:t>o share knowledge and resources,</w:t>
      </w:r>
      <w:r w:rsidRPr="00515807">
        <w:rPr>
          <w:rFonts w:eastAsia="Cambria"/>
        </w:rPr>
        <w:t xml:space="preserve"> learn from the experience of others</w:t>
      </w:r>
      <w:r w:rsidR="00420CBF">
        <w:rPr>
          <w:rFonts w:eastAsia="Cambria"/>
        </w:rPr>
        <w:t>,</w:t>
      </w:r>
      <w:r w:rsidRPr="00515807">
        <w:rPr>
          <w:rFonts w:eastAsia="Cambria"/>
        </w:rPr>
        <w:t xml:space="preserve"> and to collaboratively identify and develop best practice. </w:t>
      </w:r>
    </w:p>
    <w:p w14:paraId="323B8C91" w14:textId="2F89F15B" w:rsidR="00771EF0" w:rsidRPr="00515807" w:rsidRDefault="00771EF0" w:rsidP="00577601">
      <w:pPr>
        <w:tabs>
          <w:tab w:val="left" w:pos="567"/>
          <w:tab w:val="left" w:pos="1107"/>
        </w:tabs>
        <w:ind w:left="-142"/>
        <w:rPr>
          <w:rFonts w:eastAsia="Cambria"/>
        </w:rPr>
      </w:pPr>
      <w:r>
        <w:rPr>
          <w:rFonts w:eastAsia="Cambria"/>
        </w:rPr>
        <w:t>This is undertaken through regular teleconferences</w:t>
      </w:r>
      <w:r w:rsidR="00420CBF">
        <w:rPr>
          <w:rFonts w:eastAsia="Cambria"/>
        </w:rPr>
        <w:t>,</w:t>
      </w:r>
      <w:r>
        <w:rPr>
          <w:rFonts w:eastAsia="Cambria"/>
        </w:rPr>
        <w:t xml:space="preserve"> discussion and engagement </w:t>
      </w:r>
      <w:r w:rsidR="00FB580E">
        <w:rPr>
          <w:rFonts w:eastAsia="Cambria"/>
        </w:rPr>
        <w:t>via</w:t>
      </w:r>
      <w:r>
        <w:rPr>
          <w:rFonts w:eastAsia="Cambria"/>
        </w:rPr>
        <w:t xml:space="preserve"> a common online platform</w:t>
      </w:r>
      <w:r w:rsidR="00420CBF">
        <w:rPr>
          <w:rFonts w:eastAsia="Cambria"/>
        </w:rPr>
        <w:t>,</w:t>
      </w:r>
      <w:r>
        <w:rPr>
          <w:rFonts w:eastAsia="Cambria"/>
        </w:rPr>
        <w:t xml:space="preserve"> and a yearly forum. </w:t>
      </w:r>
    </w:p>
    <w:p w14:paraId="318C5252" w14:textId="57FADAAB" w:rsidR="00771EF0" w:rsidRDefault="00771EF0" w:rsidP="00577601">
      <w:pPr>
        <w:ind w:left="-142"/>
        <w:rPr>
          <w:rFonts w:eastAsia="Cambria"/>
        </w:rPr>
      </w:pPr>
      <w:r>
        <w:rPr>
          <w:rFonts w:eastAsia="Cambria"/>
        </w:rPr>
        <w:t xml:space="preserve">In May 2017, approximately 70 </w:t>
      </w:r>
      <w:r w:rsidRPr="00515807">
        <w:rPr>
          <w:rFonts w:eastAsia="Cambria"/>
        </w:rPr>
        <w:t xml:space="preserve">people from local government, </w:t>
      </w:r>
      <w:r>
        <w:rPr>
          <w:rFonts w:eastAsia="Cambria"/>
        </w:rPr>
        <w:t xml:space="preserve">Queensland Government agencies, and private and </w:t>
      </w:r>
      <w:r w:rsidRPr="00515807">
        <w:rPr>
          <w:rFonts w:eastAsia="Cambria"/>
        </w:rPr>
        <w:t xml:space="preserve">non-government </w:t>
      </w:r>
      <w:r>
        <w:rPr>
          <w:rFonts w:eastAsia="Cambria"/>
        </w:rPr>
        <w:t>entities attended a DMO Network Forum in Mackay. This event was hosted by the Office of the IGEM in partnership with the LGAQ</w:t>
      </w:r>
      <w:r w:rsidR="006A6077">
        <w:rPr>
          <w:rFonts w:eastAsia="Cambria"/>
        </w:rPr>
        <w:t>.</w:t>
      </w:r>
      <w:r>
        <w:rPr>
          <w:rFonts w:eastAsia="Cambria"/>
        </w:rPr>
        <w:t xml:space="preserve"> </w:t>
      </w:r>
    </w:p>
    <w:p w14:paraId="6F3EE93E" w14:textId="78438519" w:rsidR="00771EF0" w:rsidRDefault="00771EF0" w:rsidP="00577601">
      <w:pPr>
        <w:ind w:left="-142"/>
        <w:rPr>
          <w:rFonts w:eastAsia="Cambria"/>
        </w:rPr>
      </w:pPr>
      <w:r w:rsidRPr="00515807">
        <w:rPr>
          <w:rFonts w:eastAsia="Cambria"/>
        </w:rPr>
        <w:t xml:space="preserve">The DMO Network </w:t>
      </w:r>
      <w:r>
        <w:rPr>
          <w:rFonts w:eastAsia="Cambria"/>
        </w:rPr>
        <w:t xml:space="preserve">continues to grow in size, and at 30 June 2017 </w:t>
      </w:r>
      <w:r w:rsidRPr="00515807">
        <w:rPr>
          <w:rFonts w:eastAsia="Cambria"/>
        </w:rPr>
        <w:t>comprise</w:t>
      </w:r>
      <w:r>
        <w:rPr>
          <w:rFonts w:eastAsia="Cambria"/>
        </w:rPr>
        <w:t>d</w:t>
      </w:r>
      <w:r w:rsidRPr="00515807">
        <w:rPr>
          <w:rFonts w:eastAsia="Cambria"/>
        </w:rPr>
        <w:t xml:space="preserve"> </w:t>
      </w:r>
      <w:r>
        <w:rPr>
          <w:rFonts w:eastAsia="Cambria"/>
        </w:rPr>
        <w:t>84</w:t>
      </w:r>
      <w:r w:rsidRPr="00515807">
        <w:rPr>
          <w:rFonts w:eastAsia="Cambria"/>
        </w:rPr>
        <w:t xml:space="preserve"> officers from 5</w:t>
      </w:r>
      <w:r>
        <w:rPr>
          <w:rFonts w:eastAsia="Cambria"/>
        </w:rPr>
        <w:t>5</w:t>
      </w:r>
      <w:r w:rsidRPr="00515807">
        <w:rPr>
          <w:rFonts w:eastAsia="Cambria"/>
        </w:rPr>
        <w:t xml:space="preserve"> local governments and one </w:t>
      </w:r>
      <w:r>
        <w:rPr>
          <w:rFonts w:eastAsia="Cambria"/>
        </w:rPr>
        <w:t xml:space="preserve">officer </w:t>
      </w:r>
      <w:r w:rsidRPr="00515807">
        <w:rPr>
          <w:rFonts w:eastAsia="Cambria"/>
        </w:rPr>
        <w:t xml:space="preserve">from the </w:t>
      </w:r>
      <w:r>
        <w:rPr>
          <w:rFonts w:eastAsia="Cambria"/>
        </w:rPr>
        <w:t>LGAQ</w:t>
      </w:r>
      <w:r w:rsidRPr="00515807">
        <w:rPr>
          <w:rFonts w:eastAsia="Cambria"/>
        </w:rPr>
        <w:t xml:space="preserve">. </w:t>
      </w:r>
      <w:r>
        <w:rPr>
          <w:rFonts w:eastAsia="Cambria"/>
        </w:rPr>
        <w:t xml:space="preserve">Feedback from members confirms that the network continues to support and strengthen the capability and operational capacity of </w:t>
      </w:r>
      <w:r w:rsidR="002E7439">
        <w:rPr>
          <w:rFonts w:eastAsia="Cambria"/>
        </w:rPr>
        <w:t>DMOs</w:t>
      </w:r>
      <w:r w:rsidRPr="00515807">
        <w:rPr>
          <w:rFonts w:eastAsia="Cambria"/>
        </w:rPr>
        <w:t xml:space="preserve"> </w:t>
      </w:r>
      <w:r>
        <w:rPr>
          <w:rFonts w:eastAsia="Cambria"/>
        </w:rPr>
        <w:t>and local di</w:t>
      </w:r>
      <w:r w:rsidR="00AD04FC">
        <w:rPr>
          <w:rFonts w:eastAsia="Cambria"/>
        </w:rPr>
        <w:t>saster coordinators across the s</w:t>
      </w:r>
      <w:r>
        <w:rPr>
          <w:rFonts w:eastAsia="Cambria"/>
        </w:rPr>
        <w:t>tate</w:t>
      </w:r>
      <w:r w:rsidRPr="00515807">
        <w:rPr>
          <w:rFonts w:eastAsia="Cambria"/>
        </w:rPr>
        <w:t xml:space="preserve">. </w:t>
      </w:r>
    </w:p>
    <w:p w14:paraId="645AB81D" w14:textId="77777777" w:rsidR="00B1223E" w:rsidRPr="00515807" w:rsidRDefault="00B1223E" w:rsidP="00771EF0">
      <w:pPr>
        <w:rPr>
          <w:rFonts w:eastAsia="Cambria"/>
        </w:rPr>
      </w:pPr>
    </w:p>
    <w:p w14:paraId="28225564" w14:textId="77777777" w:rsidR="0051425D" w:rsidRDefault="0051425D">
      <w:pPr>
        <w:rPr>
          <w:rFonts w:eastAsia="Calibri"/>
          <w:b/>
          <w:sz w:val="28"/>
          <w:szCs w:val="28"/>
        </w:rPr>
      </w:pPr>
      <w:r>
        <w:rPr>
          <w:rFonts w:eastAsia="Calibri"/>
          <w:b/>
          <w:sz w:val="28"/>
          <w:szCs w:val="28"/>
        </w:rPr>
        <w:br w:type="page"/>
      </w:r>
    </w:p>
    <w:p w14:paraId="1096BF04" w14:textId="23BD16D9" w:rsidR="00771EF0" w:rsidRPr="00405778" w:rsidRDefault="00771EF0" w:rsidP="00913AA5">
      <w:pPr>
        <w:tabs>
          <w:tab w:val="left" w:pos="567"/>
          <w:tab w:val="left" w:pos="1107"/>
        </w:tabs>
        <w:spacing w:before="240"/>
        <w:ind w:left="-142"/>
        <w:rPr>
          <w:rFonts w:eastAsia="Calibri"/>
          <w:b/>
          <w:sz w:val="28"/>
          <w:szCs w:val="28"/>
        </w:rPr>
      </w:pPr>
      <w:r w:rsidRPr="00405778">
        <w:rPr>
          <w:rFonts w:eastAsia="Calibri"/>
          <w:b/>
          <w:sz w:val="28"/>
          <w:szCs w:val="28"/>
        </w:rPr>
        <w:lastRenderedPageBreak/>
        <w:t>Inspector-General Emergency Management Advisory Panel</w:t>
      </w:r>
    </w:p>
    <w:p w14:paraId="022AB40E" w14:textId="77777777" w:rsidR="00771EF0" w:rsidRDefault="00771EF0" w:rsidP="00577601">
      <w:pPr>
        <w:tabs>
          <w:tab w:val="left" w:pos="567"/>
          <w:tab w:val="left" w:pos="1107"/>
        </w:tabs>
        <w:ind w:left="-142"/>
        <w:rPr>
          <w:rFonts w:eastAsia="Cambria"/>
        </w:rPr>
      </w:pPr>
      <w:r w:rsidRPr="00515807">
        <w:rPr>
          <w:rFonts w:eastAsia="Cambria"/>
        </w:rPr>
        <w:t>An Advisory Panel</w:t>
      </w:r>
      <w:r>
        <w:rPr>
          <w:rFonts w:eastAsia="Cambria"/>
        </w:rPr>
        <w:t xml:space="preserve">, </w:t>
      </w:r>
      <w:r w:rsidRPr="00515807">
        <w:rPr>
          <w:rFonts w:eastAsia="Cambria"/>
        </w:rPr>
        <w:t>established in February 2016</w:t>
      </w:r>
      <w:r>
        <w:rPr>
          <w:rFonts w:eastAsia="Cambria"/>
        </w:rPr>
        <w:t xml:space="preserve">, continued </w:t>
      </w:r>
      <w:r w:rsidRPr="00515807">
        <w:rPr>
          <w:rFonts w:eastAsia="Cambria"/>
        </w:rPr>
        <w:t>to offer practical stakeholder comment and guidance to the I</w:t>
      </w:r>
      <w:r>
        <w:rPr>
          <w:rFonts w:eastAsia="Cambria"/>
        </w:rPr>
        <w:t xml:space="preserve">nspector-General </w:t>
      </w:r>
      <w:r w:rsidRPr="00515807">
        <w:rPr>
          <w:rFonts w:eastAsia="Cambria"/>
        </w:rPr>
        <w:t>E</w:t>
      </w:r>
      <w:r>
        <w:rPr>
          <w:rFonts w:eastAsia="Cambria"/>
        </w:rPr>
        <w:t>mergency Management o</w:t>
      </w:r>
      <w:r w:rsidRPr="00515807">
        <w:rPr>
          <w:rFonts w:eastAsia="Cambria"/>
        </w:rPr>
        <w:t xml:space="preserve">n a range of emergency management related activities. </w:t>
      </w:r>
    </w:p>
    <w:p w14:paraId="3B4A2805" w14:textId="77777777" w:rsidR="00771EF0" w:rsidRPr="00515807" w:rsidRDefault="00771EF0" w:rsidP="00577601">
      <w:pPr>
        <w:tabs>
          <w:tab w:val="left" w:pos="567"/>
          <w:tab w:val="left" w:pos="1107"/>
        </w:tabs>
        <w:ind w:left="-142"/>
        <w:rPr>
          <w:rFonts w:eastAsia="Cambria"/>
        </w:rPr>
      </w:pPr>
      <w:r>
        <w:rPr>
          <w:rFonts w:eastAsia="Cambria"/>
        </w:rPr>
        <w:t xml:space="preserve">The Office of the IGEM hosted three Advisory Panel meetings in 2016-17. </w:t>
      </w:r>
    </w:p>
    <w:p w14:paraId="26EE24BB" w14:textId="441A5F65" w:rsidR="00771EF0" w:rsidRDefault="00771EF0" w:rsidP="00577601">
      <w:pPr>
        <w:tabs>
          <w:tab w:val="left" w:pos="567"/>
          <w:tab w:val="left" w:pos="1107"/>
        </w:tabs>
        <w:ind w:left="-142"/>
        <w:rPr>
          <w:rFonts w:eastAsia="Cambria"/>
        </w:rPr>
      </w:pPr>
      <w:r w:rsidRPr="00515807">
        <w:rPr>
          <w:rFonts w:eastAsia="Cambria"/>
        </w:rPr>
        <w:t>Panel members include representatives from the Department of the Premier and Cabinet; D</w:t>
      </w:r>
      <w:r w:rsidR="00B1223E">
        <w:rPr>
          <w:rFonts w:eastAsia="Cambria"/>
        </w:rPr>
        <w:t>ILGP</w:t>
      </w:r>
      <w:r w:rsidRPr="00515807">
        <w:rPr>
          <w:rFonts w:eastAsia="Cambria"/>
        </w:rPr>
        <w:t>; D</w:t>
      </w:r>
      <w:r w:rsidR="00B1223E">
        <w:rPr>
          <w:rFonts w:eastAsia="Cambria"/>
        </w:rPr>
        <w:t>CCSDS</w:t>
      </w:r>
      <w:r w:rsidR="00977C2B">
        <w:rPr>
          <w:rFonts w:eastAsia="Cambria"/>
        </w:rPr>
        <w:t>;</w:t>
      </w:r>
      <w:r w:rsidR="00B1223E">
        <w:rPr>
          <w:rFonts w:eastAsia="Cambria"/>
        </w:rPr>
        <w:t xml:space="preserve"> LGAQ</w:t>
      </w:r>
      <w:r w:rsidR="00977C2B">
        <w:rPr>
          <w:rFonts w:eastAsia="Cambria"/>
        </w:rPr>
        <w:t>;</w:t>
      </w:r>
      <w:r w:rsidR="00B1223E">
        <w:rPr>
          <w:rFonts w:eastAsia="Cambria"/>
        </w:rPr>
        <w:t xml:space="preserve"> </w:t>
      </w:r>
      <w:r w:rsidRPr="00515807">
        <w:rPr>
          <w:rFonts w:eastAsia="Cambria"/>
        </w:rPr>
        <w:t xml:space="preserve">QFES; QPS; Australian Red Cross; QH; Griffith University; </w:t>
      </w:r>
      <w:r w:rsidR="00072961">
        <w:rPr>
          <w:rFonts w:eastAsia="Cambria"/>
        </w:rPr>
        <w:t>QUT</w:t>
      </w:r>
      <w:r w:rsidRPr="00515807">
        <w:rPr>
          <w:rFonts w:eastAsia="Cambria"/>
        </w:rPr>
        <w:t>; and Brisbane City Council</w:t>
      </w:r>
      <w:r w:rsidR="00B1223E">
        <w:rPr>
          <w:rFonts w:eastAsia="Cambria"/>
        </w:rPr>
        <w:t xml:space="preserve"> (BCC)</w:t>
      </w:r>
      <w:r w:rsidRPr="00515807">
        <w:rPr>
          <w:rFonts w:eastAsia="Cambria"/>
        </w:rPr>
        <w:t xml:space="preserve">. </w:t>
      </w:r>
    </w:p>
    <w:p w14:paraId="1903ED68" w14:textId="77777777"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t xml:space="preserve">Research framework and engagement with universities </w:t>
      </w:r>
    </w:p>
    <w:p w14:paraId="46B76F98" w14:textId="77777777" w:rsidR="00771EF0" w:rsidRDefault="00771EF0" w:rsidP="00577601">
      <w:pPr>
        <w:tabs>
          <w:tab w:val="left" w:pos="567"/>
          <w:tab w:val="left" w:pos="1107"/>
        </w:tabs>
        <w:ind w:left="-142" w:right="-45"/>
        <w:rPr>
          <w:rFonts w:eastAsia="Calibri"/>
        </w:rPr>
      </w:pPr>
      <w:r w:rsidRPr="00787980">
        <w:rPr>
          <w:rFonts w:eastAsia="Calibri"/>
        </w:rPr>
        <w:t xml:space="preserve">In 2016-17, the Office of the IGEM </w:t>
      </w:r>
      <w:r>
        <w:rPr>
          <w:rFonts w:eastAsia="Calibri"/>
        </w:rPr>
        <w:t xml:space="preserve">initiated the collaborative development of a research framework to promote disaster management research in the Queensland context. </w:t>
      </w:r>
    </w:p>
    <w:p w14:paraId="0640F8A2" w14:textId="77777777" w:rsidR="00771EF0" w:rsidRDefault="00771EF0" w:rsidP="00577601">
      <w:pPr>
        <w:tabs>
          <w:tab w:val="left" w:pos="567"/>
          <w:tab w:val="left" w:pos="1107"/>
        </w:tabs>
        <w:ind w:left="-142" w:right="-45"/>
        <w:rPr>
          <w:rFonts w:eastAsia="Calibri"/>
        </w:rPr>
      </w:pPr>
      <w:r>
        <w:rPr>
          <w:rFonts w:eastAsia="Calibri"/>
        </w:rPr>
        <w:t xml:space="preserve">The framework will nurture partnerships, cooperation and understanding between academic institutions, government agencies and disaster management practitioners. </w:t>
      </w:r>
    </w:p>
    <w:p w14:paraId="058F0D3C" w14:textId="77777777" w:rsidR="00771EF0" w:rsidRDefault="00771EF0" w:rsidP="00577601">
      <w:pPr>
        <w:tabs>
          <w:tab w:val="left" w:pos="567"/>
          <w:tab w:val="left" w:pos="1107"/>
        </w:tabs>
        <w:ind w:left="-142" w:right="-45"/>
        <w:rPr>
          <w:rFonts w:eastAsia="Calibri"/>
        </w:rPr>
      </w:pPr>
      <w:r>
        <w:rPr>
          <w:rFonts w:eastAsia="Calibri"/>
        </w:rPr>
        <w:t xml:space="preserve">An initial database of more than </w:t>
      </w:r>
      <w:r w:rsidRPr="00E1649D">
        <w:rPr>
          <w:rFonts w:eastAsia="Calibri"/>
        </w:rPr>
        <w:t>70</w:t>
      </w:r>
      <w:r>
        <w:rPr>
          <w:rFonts w:eastAsia="Calibri"/>
        </w:rPr>
        <w:t xml:space="preserve"> university researchers specialising in disaster and emergency management has been developed. An online platform has been established to support the development and implementation of the framework, and to enable more effective discussions between disaster management practitioners and researchers.  </w:t>
      </w:r>
    </w:p>
    <w:p w14:paraId="5BFB7AFB" w14:textId="2FB4F187" w:rsidR="00771EF0" w:rsidRDefault="00771EF0" w:rsidP="00577601">
      <w:pPr>
        <w:tabs>
          <w:tab w:val="left" w:pos="567"/>
          <w:tab w:val="left" w:pos="1107"/>
        </w:tabs>
        <w:ind w:left="-142" w:right="-45"/>
        <w:rPr>
          <w:rFonts w:eastAsia="Calibri"/>
        </w:rPr>
      </w:pPr>
      <w:r>
        <w:rPr>
          <w:rFonts w:eastAsia="Calibri"/>
        </w:rPr>
        <w:t xml:space="preserve">The Office of the IGEM continues to </w:t>
      </w:r>
      <w:r w:rsidR="00AB2417">
        <w:rPr>
          <w:rFonts w:eastAsia="Calibri"/>
        </w:rPr>
        <w:t>support undergraduate studies in</w:t>
      </w:r>
      <w:r>
        <w:rPr>
          <w:rFonts w:eastAsia="Calibri"/>
        </w:rPr>
        <w:t xml:space="preserve"> disaster management through a Memorandum of Understanding</w:t>
      </w:r>
      <w:r w:rsidR="00D47F14">
        <w:rPr>
          <w:rFonts w:eastAsia="Calibri"/>
        </w:rPr>
        <w:t xml:space="preserve"> (MOU)</w:t>
      </w:r>
      <w:r>
        <w:rPr>
          <w:rFonts w:eastAsia="Calibri"/>
        </w:rPr>
        <w:t xml:space="preserve"> with QUT. </w:t>
      </w:r>
    </w:p>
    <w:p w14:paraId="59A9D443" w14:textId="77777777" w:rsidR="00771EF0" w:rsidRDefault="00771EF0" w:rsidP="00577601">
      <w:pPr>
        <w:tabs>
          <w:tab w:val="left" w:pos="567"/>
          <w:tab w:val="left" w:pos="1107"/>
        </w:tabs>
        <w:ind w:left="-142" w:right="-45"/>
        <w:rPr>
          <w:rFonts w:eastAsia="Calibri"/>
        </w:rPr>
      </w:pPr>
      <w:r>
        <w:rPr>
          <w:rFonts w:eastAsia="Calibri"/>
        </w:rPr>
        <w:t xml:space="preserve">As part of this MOU, a 10 week internship is offered to a student on an annual basis. In 2016-17, a scoping paper was prepared and a seminar delivered to key stakeholders on immersive technologies as an outcome of the QUT-Office of the IGEM internship program. </w:t>
      </w:r>
    </w:p>
    <w:p w14:paraId="6340E973" w14:textId="5EF2246F" w:rsidR="00771EF0" w:rsidRDefault="00771EF0" w:rsidP="00577601">
      <w:pPr>
        <w:tabs>
          <w:tab w:val="left" w:pos="567"/>
          <w:tab w:val="left" w:pos="1107"/>
        </w:tabs>
        <w:ind w:left="-142" w:right="-45"/>
        <w:rPr>
          <w:rFonts w:eastAsia="Calibri"/>
        </w:rPr>
      </w:pPr>
      <w:r>
        <w:rPr>
          <w:rFonts w:eastAsia="Calibri"/>
        </w:rPr>
        <w:t>Discussions were also progressed between the Office of the IGEM, QUT and B</w:t>
      </w:r>
      <w:r w:rsidR="00B1223E">
        <w:rPr>
          <w:rFonts w:eastAsia="Calibri"/>
        </w:rPr>
        <w:t xml:space="preserve">CC </w:t>
      </w:r>
      <w:r>
        <w:rPr>
          <w:rFonts w:eastAsia="Calibri"/>
        </w:rPr>
        <w:t xml:space="preserve">to develop a proof-of-concept on safe evacuation using virtual and augmented reality.  </w:t>
      </w:r>
    </w:p>
    <w:p w14:paraId="4C48DC2F" w14:textId="77777777"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t xml:space="preserve">Best practice emergency supply </w:t>
      </w:r>
    </w:p>
    <w:p w14:paraId="2233D722" w14:textId="77777777" w:rsidR="00771EF0" w:rsidRDefault="00771EF0" w:rsidP="00577601">
      <w:pPr>
        <w:tabs>
          <w:tab w:val="left" w:pos="567"/>
          <w:tab w:val="left" w:pos="1107"/>
        </w:tabs>
        <w:ind w:left="-142" w:right="-46"/>
        <w:rPr>
          <w:rFonts w:eastAsia="Calibri"/>
        </w:rPr>
      </w:pPr>
      <w:r>
        <w:rPr>
          <w:rFonts w:eastAsia="Calibri"/>
        </w:rPr>
        <w:t>The Office of the IGEM assurance activities in 2016-17 included an examination of the State’s emergency supply arrangements.</w:t>
      </w:r>
    </w:p>
    <w:p w14:paraId="39D107F2" w14:textId="77777777" w:rsidR="00771EF0" w:rsidRDefault="00771EF0" w:rsidP="00577601">
      <w:pPr>
        <w:tabs>
          <w:tab w:val="left" w:pos="567"/>
          <w:tab w:val="left" w:pos="1107"/>
        </w:tabs>
        <w:ind w:left="-142" w:right="-46"/>
        <w:rPr>
          <w:rFonts w:eastAsia="Calibri"/>
        </w:rPr>
      </w:pPr>
      <w:r>
        <w:rPr>
          <w:rFonts w:eastAsia="Calibri"/>
        </w:rPr>
        <w:t xml:space="preserve">A team of academics and practitioners from Griffith University were engaged to research emergency supply best practice and produce a report. Submissions were also sought from local governments and state agencies with emergency supply roles and expertise. </w:t>
      </w:r>
    </w:p>
    <w:p w14:paraId="232AAB87" w14:textId="77777777" w:rsidR="00771EF0" w:rsidRDefault="00771EF0" w:rsidP="00577601">
      <w:pPr>
        <w:tabs>
          <w:tab w:val="left" w:pos="567"/>
          <w:tab w:val="left" w:pos="1107"/>
        </w:tabs>
        <w:ind w:left="-142" w:right="-46"/>
        <w:rPr>
          <w:rFonts w:eastAsia="Calibri"/>
        </w:rPr>
      </w:pPr>
      <w:r>
        <w:rPr>
          <w:rFonts w:eastAsia="Calibri"/>
        </w:rPr>
        <w:t xml:space="preserve">Informed by the research report and submissions, the Office of the IGEM identified guiding principles and lessons relevant to Queensland and produced a framework for action. </w:t>
      </w:r>
    </w:p>
    <w:p w14:paraId="37032100" w14:textId="77777777" w:rsidR="00771EF0" w:rsidRPr="0044265C" w:rsidRDefault="00771EF0" w:rsidP="00577601">
      <w:pPr>
        <w:tabs>
          <w:tab w:val="left" w:pos="567"/>
          <w:tab w:val="left" w:pos="1107"/>
        </w:tabs>
        <w:ind w:left="-142" w:right="-46"/>
        <w:rPr>
          <w:rFonts w:eastAsia="Calibri"/>
        </w:rPr>
      </w:pPr>
      <w:r>
        <w:rPr>
          <w:rFonts w:eastAsia="Calibri"/>
        </w:rPr>
        <w:t xml:space="preserve">This information was shared with key emergency management sector stakeholders for implementation. </w:t>
      </w:r>
    </w:p>
    <w:p w14:paraId="0E15D75E" w14:textId="77777777" w:rsidR="00771EF0" w:rsidRPr="00405778" w:rsidRDefault="00771EF0" w:rsidP="00913AA5">
      <w:pPr>
        <w:tabs>
          <w:tab w:val="left" w:pos="567"/>
          <w:tab w:val="left" w:pos="1107"/>
        </w:tabs>
        <w:spacing w:before="240"/>
        <w:ind w:left="-142"/>
        <w:rPr>
          <w:rFonts w:eastAsia="Cambria"/>
          <w:b/>
          <w:sz w:val="28"/>
          <w:szCs w:val="28"/>
        </w:rPr>
      </w:pPr>
      <w:r w:rsidRPr="00405778">
        <w:rPr>
          <w:rFonts w:eastAsia="Cambria"/>
          <w:b/>
          <w:sz w:val="28"/>
          <w:szCs w:val="28"/>
        </w:rPr>
        <w:t>Lexicon project</w:t>
      </w:r>
    </w:p>
    <w:p w14:paraId="76F3E6DE" w14:textId="77777777" w:rsidR="00771EF0" w:rsidRPr="00515807" w:rsidRDefault="00771EF0" w:rsidP="00577601">
      <w:pPr>
        <w:tabs>
          <w:tab w:val="left" w:pos="567"/>
          <w:tab w:val="left" w:pos="1107"/>
        </w:tabs>
        <w:ind w:left="-142"/>
        <w:rPr>
          <w:rFonts w:eastAsia="Cambria"/>
        </w:rPr>
      </w:pPr>
      <w:r w:rsidRPr="00515807">
        <w:rPr>
          <w:rFonts w:eastAsia="Cambria"/>
        </w:rPr>
        <w:t xml:space="preserve">The Office of the IGEM </w:t>
      </w:r>
      <w:r>
        <w:rPr>
          <w:rFonts w:eastAsia="Cambria"/>
        </w:rPr>
        <w:t>continued to make s</w:t>
      </w:r>
      <w:r w:rsidRPr="00515807">
        <w:rPr>
          <w:rFonts w:eastAsia="Cambria"/>
        </w:rPr>
        <w:t>ignificant progress to</w:t>
      </w:r>
      <w:r>
        <w:rPr>
          <w:rFonts w:eastAsia="Cambria"/>
        </w:rPr>
        <w:t xml:space="preserve"> promote a common language across the disaster management sector in </w:t>
      </w:r>
      <w:r w:rsidRPr="00515807">
        <w:rPr>
          <w:rFonts w:eastAsia="Cambria"/>
        </w:rPr>
        <w:t xml:space="preserve">Queensland. </w:t>
      </w:r>
    </w:p>
    <w:p w14:paraId="05ECDBEC" w14:textId="77777777" w:rsidR="00771EF0" w:rsidRDefault="00771EF0" w:rsidP="00577601">
      <w:pPr>
        <w:tabs>
          <w:tab w:val="left" w:pos="567"/>
          <w:tab w:val="left" w:pos="1107"/>
        </w:tabs>
        <w:ind w:left="-142"/>
        <w:rPr>
          <w:rFonts w:eastAsia="Cambria"/>
        </w:rPr>
      </w:pPr>
      <w:r>
        <w:rPr>
          <w:rFonts w:eastAsia="Cambria"/>
        </w:rPr>
        <w:t xml:space="preserve">The Queensland Disaster Management Lexicon Working Group met on four occasions in 2016-17.  </w:t>
      </w:r>
    </w:p>
    <w:p w14:paraId="6ABD9737" w14:textId="77777777" w:rsidR="00771EF0" w:rsidRPr="00515807" w:rsidRDefault="00771EF0" w:rsidP="00577601">
      <w:pPr>
        <w:tabs>
          <w:tab w:val="left" w:pos="567"/>
          <w:tab w:val="left" w:pos="1107"/>
        </w:tabs>
        <w:ind w:left="-142"/>
        <w:rPr>
          <w:rFonts w:eastAsia="Cambria"/>
        </w:rPr>
      </w:pPr>
      <w:r>
        <w:rPr>
          <w:rFonts w:eastAsia="Cambria"/>
        </w:rPr>
        <w:t xml:space="preserve">The Office of the IGEM also contributed to the review of the national Emergency Management Australia glossary being led by the Australian Institute for Disaster Resilience. </w:t>
      </w:r>
    </w:p>
    <w:p w14:paraId="7F3B0F5F" w14:textId="77777777" w:rsidR="00FB580E" w:rsidRDefault="00FB580E">
      <w:pPr>
        <w:rPr>
          <w:rFonts w:eastAsia="Calibri"/>
          <w:b/>
          <w:sz w:val="28"/>
          <w:szCs w:val="28"/>
        </w:rPr>
      </w:pPr>
      <w:r>
        <w:rPr>
          <w:rFonts w:eastAsia="Calibri"/>
          <w:b/>
          <w:sz w:val="28"/>
          <w:szCs w:val="28"/>
        </w:rPr>
        <w:br w:type="page"/>
      </w:r>
    </w:p>
    <w:p w14:paraId="3195ED10" w14:textId="38827123"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lastRenderedPageBreak/>
        <w:t xml:space="preserve">Engagement activities </w:t>
      </w:r>
    </w:p>
    <w:p w14:paraId="5FB45EA5" w14:textId="77777777" w:rsidR="00771EF0" w:rsidRDefault="00771EF0" w:rsidP="00577601">
      <w:pPr>
        <w:tabs>
          <w:tab w:val="left" w:pos="567"/>
          <w:tab w:val="left" w:pos="1107"/>
        </w:tabs>
        <w:ind w:left="-142"/>
        <w:rPr>
          <w:rFonts w:eastAsia="Cambria"/>
        </w:rPr>
      </w:pPr>
      <w:r w:rsidRPr="00E21347">
        <w:rPr>
          <w:rFonts w:eastAsia="Cambria"/>
        </w:rPr>
        <w:t xml:space="preserve">Significant engagement was undertaken </w:t>
      </w:r>
      <w:r>
        <w:rPr>
          <w:rFonts w:eastAsia="Cambria"/>
        </w:rPr>
        <w:t xml:space="preserve">in 2016-17 </w:t>
      </w:r>
      <w:r w:rsidRPr="00E21347">
        <w:rPr>
          <w:rFonts w:eastAsia="Cambria"/>
        </w:rPr>
        <w:t xml:space="preserve">to </w:t>
      </w:r>
      <w:r>
        <w:rPr>
          <w:rFonts w:eastAsia="Cambria"/>
        </w:rPr>
        <w:t>support a coordinated strategic direction for emergency management in Queensland.</w:t>
      </w:r>
    </w:p>
    <w:p w14:paraId="259FC5FF" w14:textId="2F866FE2" w:rsidR="00771EF0" w:rsidRDefault="00771EF0" w:rsidP="00577601">
      <w:pPr>
        <w:tabs>
          <w:tab w:val="left" w:pos="567"/>
          <w:tab w:val="left" w:pos="1107"/>
        </w:tabs>
        <w:ind w:left="-142"/>
        <w:rPr>
          <w:rFonts w:eastAsia="Cambria"/>
        </w:rPr>
      </w:pPr>
      <w:r>
        <w:rPr>
          <w:rFonts w:eastAsia="Cambria"/>
        </w:rPr>
        <w:t>This included providing s</w:t>
      </w:r>
      <w:r w:rsidR="00FB580E">
        <w:rPr>
          <w:rFonts w:eastAsia="Cambria"/>
        </w:rPr>
        <w:t>trategic input and advice into s</w:t>
      </w:r>
      <w:r>
        <w:rPr>
          <w:rFonts w:eastAsia="Cambria"/>
        </w:rPr>
        <w:t xml:space="preserve">tate emergency management arrangements and engaging with the Queensland Disaster Management Committee, State Disaster Coordination Group, Chief Executive Officers and the Disaster Management Interdepartmental Committee. Engagement with key stakeholders was heightened during </w:t>
      </w:r>
      <w:r w:rsidR="00AB2417">
        <w:rPr>
          <w:rFonts w:eastAsia="Cambria"/>
        </w:rPr>
        <w:t xml:space="preserve">Severe </w:t>
      </w:r>
      <w:r>
        <w:rPr>
          <w:rFonts w:eastAsia="Cambria"/>
        </w:rPr>
        <w:t xml:space="preserve">Tropical Cyclone Debbie. </w:t>
      </w:r>
    </w:p>
    <w:p w14:paraId="7D7B8A3F" w14:textId="470DE830" w:rsidR="00771EF0" w:rsidRDefault="00771EF0" w:rsidP="00577601">
      <w:pPr>
        <w:tabs>
          <w:tab w:val="left" w:pos="567"/>
          <w:tab w:val="left" w:pos="1107"/>
        </w:tabs>
        <w:ind w:left="-142"/>
        <w:rPr>
          <w:rFonts w:eastAsia="Cambria"/>
        </w:rPr>
      </w:pPr>
      <w:r>
        <w:rPr>
          <w:rFonts w:eastAsia="Cambria"/>
        </w:rPr>
        <w:t xml:space="preserve">The Office of the IGEM extensively engaged </w:t>
      </w:r>
      <w:r w:rsidR="00FB580E">
        <w:rPr>
          <w:rFonts w:eastAsia="Cambria"/>
        </w:rPr>
        <w:t>with m</w:t>
      </w:r>
      <w:r w:rsidRPr="00E21347">
        <w:rPr>
          <w:rFonts w:eastAsia="Cambria"/>
        </w:rPr>
        <w:t>ayors, senior officers and staff from local governments</w:t>
      </w:r>
      <w:r w:rsidR="00420CBF">
        <w:rPr>
          <w:rFonts w:eastAsia="Cambria"/>
        </w:rPr>
        <w:t>,</w:t>
      </w:r>
      <w:r>
        <w:rPr>
          <w:rFonts w:eastAsia="Cambria"/>
        </w:rPr>
        <w:t xml:space="preserve"> </w:t>
      </w:r>
      <w:r w:rsidRPr="00E21347">
        <w:rPr>
          <w:rFonts w:eastAsia="Cambria"/>
        </w:rPr>
        <w:t>attend</w:t>
      </w:r>
      <w:r>
        <w:rPr>
          <w:rFonts w:eastAsia="Cambria"/>
        </w:rPr>
        <w:t xml:space="preserve">ed </w:t>
      </w:r>
      <w:r w:rsidRPr="00E21347">
        <w:rPr>
          <w:rFonts w:eastAsia="Cambria"/>
        </w:rPr>
        <w:t xml:space="preserve">district and local disaster management group meetings </w:t>
      </w:r>
      <w:r w:rsidR="00420CBF">
        <w:rPr>
          <w:rFonts w:eastAsia="Cambria"/>
        </w:rPr>
        <w:t>across Queensland,</w:t>
      </w:r>
      <w:r>
        <w:rPr>
          <w:rFonts w:eastAsia="Cambria"/>
        </w:rPr>
        <w:t xml:space="preserve"> and contributed to 10 </w:t>
      </w:r>
      <w:r w:rsidR="00D47F14">
        <w:rPr>
          <w:rFonts w:eastAsia="Cambria"/>
        </w:rPr>
        <w:t>LGAQ</w:t>
      </w:r>
      <w:r>
        <w:rPr>
          <w:rFonts w:eastAsia="Cambria"/>
        </w:rPr>
        <w:t xml:space="preserve"> road show presentations in August and September 2016. </w:t>
      </w:r>
    </w:p>
    <w:p w14:paraId="07737F16" w14:textId="27959153" w:rsidR="00771EF0" w:rsidRPr="00DB7157" w:rsidRDefault="00771EF0" w:rsidP="00577601">
      <w:pPr>
        <w:tabs>
          <w:tab w:val="left" w:pos="567"/>
          <w:tab w:val="left" w:pos="1107"/>
        </w:tabs>
        <w:ind w:left="-142"/>
        <w:rPr>
          <w:rFonts w:eastAsia="Cambria"/>
        </w:rPr>
      </w:pPr>
      <w:r>
        <w:rPr>
          <w:rFonts w:eastAsia="Cambria"/>
        </w:rPr>
        <w:t xml:space="preserve">Participation in national activities such as </w:t>
      </w:r>
      <w:r w:rsidRPr="00E21347">
        <w:rPr>
          <w:rFonts w:eastAsia="Cambria"/>
        </w:rPr>
        <w:t xml:space="preserve">conferences, </w:t>
      </w:r>
      <w:r>
        <w:rPr>
          <w:rFonts w:eastAsia="Cambria"/>
        </w:rPr>
        <w:t xml:space="preserve">symposiums and workshops included the </w:t>
      </w:r>
      <w:r w:rsidRPr="00E21347">
        <w:rPr>
          <w:rFonts w:eastAsia="Cambria"/>
        </w:rPr>
        <w:t xml:space="preserve">Bushfire and Natural Hazards Cooperative Research Centre </w:t>
      </w:r>
      <w:r w:rsidR="00420CBF">
        <w:rPr>
          <w:rFonts w:eastAsia="Cambria"/>
        </w:rPr>
        <w:t>(September 2016),</w:t>
      </w:r>
      <w:r>
        <w:rPr>
          <w:rFonts w:eastAsia="Cambria"/>
        </w:rPr>
        <w:t xml:space="preserve"> </w:t>
      </w:r>
      <w:r>
        <w:t>Australasian Evaluation Society Internatio</w:t>
      </w:r>
      <w:r w:rsidR="00420CBF">
        <w:t>nal Conference (September 2016),</w:t>
      </w:r>
      <w:r>
        <w:t xml:space="preserve"> </w:t>
      </w:r>
      <w:r>
        <w:rPr>
          <w:rFonts w:eastAsia="Cambria"/>
        </w:rPr>
        <w:t>Aboriginal and Torres Strait Islander Resilience Workshop</w:t>
      </w:r>
      <w:r w:rsidRPr="00E21347">
        <w:rPr>
          <w:rFonts w:eastAsia="Cambria"/>
        </w:rPr>
        <w:t xml:space="preserve"> </w:t>
      </w:r>
      <w:r>
        <w:rPr>
          <w:rFonts w:eastAsia="Cambria"/>
        </w:rPr>
        <w:t>(September 201</w:t>
      </w:r>
      <w:r w:rsidR="00B1223E">
        <w:rPr>
          <w:rFonts w:eastAsia="Cambria"/>
        </w:rPr>
        <w:t>6</w:t>
      </w:r>
      <w:r>
        <w:rPr>
          <w:rFonts w:eastAsia="Cambria"/>
        </w:rPr>
        <w:t>)</w:t>
      </w:r>
      <w:r w:rsidR="00420CBF">
        <w:rPr>
          <w:rFonts w:eastAsia="Cambria"/>
        </w:rPr>
        <w:t>,</w:t>
      </w:r>
      <w:r>
        <w:rPr>
          <w:rFonts w:eastAsia="Cambria"/>
        </w:rPr>
        <w:t xml:space="preserve"> </w:t>
      </w:r>
      <w:r w:rsidRPr="00E21347">
        <w:rPr>
          <w:rFonts w:eastAsia="Cambria"/>
        </w:rPr>
        <w:t>Australasian Fire and Emergency Service Authorities Council (AFAC)</w:t>
      </w:r>
      <w:r>
        <w:rPr>
          <w:rFonts w:eastAsia="Cambria"/>
        </w:rPr>
        <w:t xml:space="preserve"> workshops (August 2016) and forum (November 2016</w:t>
      </w:r>
      <w:r w:rsidR="00420CBF">
        <w:rPr>
          <w:rFonts w:eastAsia="Cambria"/>
        </w:rPr>
        <w:t>),</w:t>
      </w:r>
      <w:r w:rsidRPr="00DB7157">
        <w:rPr>
          <w:rFonts w:eastAsia="Cambria"/>
        </w:rPr>
        <w:t xml:space="preserve"> </w:t>
      </w:r>
      <w:r>
        <w:rPr>
          <w:rFonts w:eastAsia="Cambria"/>
        </w:rPr>
        <w:t xml:space="preserve">and </w:t>
      </w:r>
      <w:r w:rsidRPr="00DB7157">
        <w:t>Australia New Zealand Disaster Management Conference</w:t>
      </w:r>
      <w:r>
        <w:t xml:space="preserve"> (May 2017)</w:t>
      </w:r>
      <w:r>
        <w:rPr>
          <w:rFonts w:eastAsia="Cambria"/>
        </w:rPr>
        <w:t>.</w:t>
      </w:r>
    </w:p>
    <w:p w14:paraId="74DF2D8E" w14:textId="6BB20E98" w:rsidR="00771EF0" w:rsidRPr="00515807" w:rsidRDefault="00771EF0" w:rsidP="00577601">
      <w:pPr>
        <w:tabs>
          <w:tab w:val="left" w:pos="567"/>
          <w:tab w:val="left" w:pos="1107"/>
        </w:tabs>
        <w:ind w:left="-142"/>
        <w:rPr>
          <w:rFonts w:eastAsia="Cambria"/>
          <w:color w:val="AB054C"/>
        </w:rPr>
      </w:pPr>
      <w:r>
        <w:rPr>
          <w:rFonts w:eastAsia="Cambria"/>
        </w:rPr>
        <w:t xml:space="preserve">Key publications and activities were communicated through the Office of the IGEM website, social media, and four editions of the </w:t>
      </w:r>
      <w:r w:rsidRPr="00515807">
        <w:rPr>
          <w:rFonts w:eastAsia="Cambria"/>
        </w:rPr>
        <w:t xml:space="preserve">online newsletter </w:t>
      </w:r>
      <w:r w:rsidRPr="00B77690">
        <w:rPr>
          <w:rFonts w:eastAsia="Cambria"/>
          <w:i/>
        </w:rPr>
        <w:t>IGEM Connect</w:t>
      </w:r>
      <w:r w:rsidRPr="00515807">
        <w:rPr>
          <w:rFonts w:eastAsia="Cambria"/>
        </w:rPr>
        <w:t xml:space="preserve"> </w:t>
      </w:r>
      <w:r>
        <w:rPr>
          <w:rFonts w:eastAsia="Cambria"/>
        </w:rPr>
        <w:t xml:space="preserve">which was </w:t>
      </w:r>
      <w:r w:rsidRPr="00515807">
        <w:rPr>
          <w:rFonts w:eastAsia="Cambria"/>
        </w:rPr>
        <w:t xml:space="preserve">distributed to </w:t>
      </w:r>
      <w:r>
        <w:rPr>
          <w:rFonts w:eastAsia="Cambria"/>
        </w:rPr>
        <w:t xml:space="preserve">approximately </w:t>
      </w:r>
      <w:r w:rsidRPr="00515807">
        <w:rPr>
          <w:rFonts w:eastAsia="Cambria"/>
        </w:rPr>
        <w:t>1,</w:t>
      </w:r>
      <w:r>
        <w:rPr>
          <w:rFonts w:eastAsia="Cambria"/>
        </w:rPr>
        <w:t>3</w:t>
      </w:r>
      <w:r w:rsidRPr="00515807">
        <w:rPr>
          <w:rFonts w:eastAsia="Cambria"/>
        </w:rPr>
        <w:t xml:space="preserve">00 stakeholders. The newsletter is available at: </w:t>
      </w:r>
      <w:hyperlink r:id="rId65" w:history="1">
        <w:r w:rsidR="006710D9" w:rsidRPr="00344880">
          <w:rPr>
            <w:rStyle w:val="Hyperlink"/>
            <w:rFonts w:eastAsia="Cambria"/>
          </w:rPr>
          <w:t>www.igem.qld.gov.au/reports-and-publications/Pages/Newsletters.aspx</w:t>
        </w:r>
      </w:hyperlink>
      <w:r w:rsidR="006710D9" w:rsidRPr="00A54711">
        <w:rPr>
          <w:rFonts w:eastAsia="Cambria"/>
        </w:rPr>
        <w:t xml:space="preserve">. </w:t>
      </w:r>
      <w:r>
        <w:rPr>
          <w:rFonts w:eastAsia="Cambria"/>
        </w:rPr>
        <w:t xml:space="preserve">An article titled ‘Queensland IGEM: results achieved so far’ was published in the April 2017 edition of the Australian Journal of Emergency Management. </w:t>
      </w:r>
    </w:p>
    <w:p w14:paraId="4DE7110F" w14:textId="77777777" w:rsidR="00771EF0" w:rsidRDefault="00771EF0">
      <w:pPr>
        <w:rPr>
          <w:rFonts w:eastAsia="Calibri"/>
          <w:szCs w:val="22"/>
          <w:highlight w:val="yellow"/>
        </w:rPr>
      </w:pPr>
      <w:r>
        <w:rPr>
          <w:rFonts w:eastAsia="Calibri"/>
          <w:szCs w:val="22"/>
          <w:highlight w:val="yellow"/>
        </w:rPr>
        <w:br w:type="page"/>
      </w:r>
    </w:p>
    <w:p w14:paraId="3EA6DFD6" w14:textId="6282C5B1" w:rsidR="000F164D" w:rsidRDefault="007B5CCA" w:rsidP="00577601">
      <w:pPr>
        <w:rPr>
          <w:rFonts w:eastAsia="Calibri"/>
          <w:szCs w:val="22"/>
          <w:highlight w:val="yellow"/>
        </w:rPr>
      </w:pPr>
      <w:r>
        <w:rPr>
          <w:rFonts w:eastAsia="Calibri"/>
          <w:noProof/>
          <w:szCs w:val="22"/>
          <w:lang w:val="en-AU" w:eastAsia="en-AU"/>
        </w:rPr>
        <w:lastRenderedPageBreak/>
        <mc:AlternateContent>
          <mc:Choice Requires="wpg">
            <w:drawing>
              <wp:anchor distT="0" distB="0" distL="114300" distR="114300" simplePos="0" relativeHeight="251662336" behindDoc="0" locked="0" layoutInCell="1" allowOverlap="1" wp14:anchorId="7A4604B8" wp14:editId="17B9FB66">
                <wp:simplePos x="0" y="0"/>
                <wp:positionH relativeFrom="column">
                  <wp:posOffset>-91440</wp:posOffset>
                </wp:positionH>
                <wp:positionV relativeFrom="paragraph">
                  <wp:posOffset>126365</wp:posOffset>
                </wp:positionV>
                <wp:extent cx="6479540" cy="2924175"/>
                <wp:effectExtent l="19050" t="19050" r="16510" b="28575"/>
                <wp:wrapNone/>
                <wp:docPr id="235" name="Group 235"/>
                <wp:cNvGraphicFramePr/>
                <a:graphic xmlns:a="http://schemas.openxmlformats.org/drawingml/2006/main">
                  <a:graphicData uri="http://schemas.microsoft.com/office/word/2010/wordprocessingGroup">
                    <wpg:wgp>
                      <wpg:cNvGrpSpPr/>
                      <wpg:grpSpPr>
                        <a:xfrm>
                          <a:off x="0" y="0"/>
                          <a:ext cx="6479540" cy="2924175"/>
                          <a:chOff x="0" y="0"/>
                          <a:chExt cx="6479540" cy="2828925"/>
                        </a:xfrm>
                      </wpg:grpSpPr>
                      <wps:wsp>
                        <wps:cNvPr id="140" name="Rounded Rectangle 140"/>
                        <wps:cNvSpPr/>
                        <wps:spPr>
                          <a:xfrm>
                            <a:off x="0" y="0"/>
                            <a:ext cx="6479540" cy="2828925"/>
                          </a:xfrm>
                          <a:prstGeom prst="roundRect">
                            <a:avLst/>
                          </a:prstGeom>
                          <a:solidFill>
                            <a:srgbClr val="AB054C">
                              <a:alpha val="98000"/>
                            </a:srgbClr>
                          </a:solidFill>
                          <a:ln w="28575" cap="flat" cmpd="sng" algn="ctr">
                            <a:solidFill>
                              <a:srgbClr val="8A002E"/>
                            </a:solidFill>
                            <a:prstDash val="solid"/>
                          </a:ln>
                          <a:effectLst/>
                        </wps:spPr>
                        <wps:txbx>
                          <w:txbxContent>
                            <w:p w14:paraId="06D160DB" w14:textId="77777777" w:rsidR="00CE542E" w:rsidRPr="00F11267" w:rsidRDefault="00CE542E" w:rsidP="000F164D">
                              <w:pPr>
                                <w:pStyle w:val="Heading4"/>
                                <w:rPr>
                                  <w:rFonts w:ascii="Arial" w:hAnsi="Arial" w:cs="Arial"/>
                                </w:rPr>
                              </w:pPr>
                              <w:bookmarkStart w:id="131" w:name="_Toc459712715"/>
                              <w:bookmarkStart w:id="132" w:name="_Toc460404387"/>
                              <w:r>
                                <w:rPr>
                                  <w:rFonts w:ascii="Arial" w:hAnsi="Arial" w:cs="Arial"/>
                                </w:rPr>
                                <w:t>Objective Four</w:t>
                              </w:r>
                              <w:bookmarkEnd w:id="131"/>
                              <w:bookmarkEnd w:id="132"/>
                            </w:p>
                          </w:txbxContent>
                        </wps:txbx>
                        <wps:bodyPr rot="0" spcFirstLastPara="0" vertOverflow="overflow" horzOverflow="overflow" vert="horz" wrap="square" lIns="216000" tIns="0" rIns="91440" bIns="45720" numCol="1" spcCol="0" rtlCol="0" fromWordArt="0" anchor="t" anchorCtr="0" forceAA="0" compatLnSpc="1">
                          <a:prstTxWarp prst="textNoShape">
                            <a:avLst/>
                          </a:prstTxWarp>
                          <a:noAutofit/>
                        </wps:bodyPr>
                      </wps:wsp>
                      <wps:wsp>
                        <wps:cNvPr id="141" name="Rounded Rectangle 141"/>
                        <wps:cNvSpPr/>
                        <wps:spPr>
                          <a:xfrm>
                            <a:off x="152400" y="542925"/>
                            <a:ext cx="2051685" cy="2133600"/>
                          </a:xfrm>
                          <a:prstGeom prst="roundRect">
                            <a:avLst/>
                          </a:prstGeom>
                          <a:solidFill>
                            <a:srgbClr val="960443"/>
                          </a:solidFill>
                          <a:ln w="28575" cap="flat" cmpd="sng" algn="ctr">
                            <a:solidFill>
                              <a:schemeClr val="bg1">
                                <a:lumMod val="95000"/>
                              </a:schemeClr>
                            </a:solidFill>
                            <a:prstDash val="solid"/>
                          </a:ln>
                          <a:effectLst/>
                        </wps:spPr>
                        <wps:txbx>
                          <w:txbxContent>
                            <w:p w14:paraId="7A33258F" w14:textId="77777777" w:rsidR="00CE542E" w:rsidRDefault="00CE542E" w:rsidP="00771EF0">
                              <w:pPr>
                                <w:spacing w:after="0"/>
                                <w:contextualSpacing/>
                                <w:rPr>
                                  <w:i/>
                                </w:rPr>
                              </w:pPr>
                              <w:r>
                                <w:rPr>
                                  <w:i/>
                                </w:rPr>
                                <w:t xml:space="preserve">A high-performing, agile, engaged and connected workforce that consistently delivers quality services. </w:t>
                              </w:r>
                            </w:p>
                            <w:p w14:paraId="480A796D" w14:textId="721A68CB" w:rsidR="00CE542E" w:rsidRPr="00161F25" w:rsidRDefault="00CE542E" w:rsidP="000F164D">
                              <w:pPr>
                                <w:spacing w:before="0" w:after="0"/>
                                <w:contextualSpacing/>
                                <w:rPr>
                                  <w:rFonts w:eastAsia="Times New Roman"/>
                                  <w:color w:val="F2F2F2" w:themeColor="background1" w:themeShade="F2"/>
                                  <w:kern w:val="0"/>
                                  <w:szCs w:val="24"/>
                                  <w:lang w:val="en-AU"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s:wsp>
                        <wps:cNvPr id="142" name="Rounded Rectangle 142"/>
                        <wps:cNvSpPr/>
                        <wps:spPr>
                          <a:xfrm>
                            <a:off x="2486025" y="542925"/>
                            <a:ext cx="3881755" cy="2133600"/>
                          </a:xfrm>
                          <a:prstGeom prst="roundRect">
                            <a:avLst/>
                          </a:prstGeom>
                          <a:solidFill>
                            <a:srgbClr val="8A043D"/>
                          </a:solidFill>
                          <a:ln w="28575" cap="flat" cmpd="sng" algn="ctr">
                            <a:solidFill>
                              <a:schemeClr val="bg1"/>
                            </a:solidFill>
                            <a:prstDash val="solid"/>
                          </a:ln>
                          <a:effectLst/>
                        </wps:spPr>
                        <wps:txbx>
                          <w:txbxContent>
                            <w:p w14:paraId="0964BF2B"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9068C24" w14:textId="77777777" w:rsidR="00CE542E" w:rsidRPr="004D56F3" w:rsidRDefault="00CE542E" w:rsidP="00771EF0">
                              <w:pPr>
                                <w:pStyle w:val="1"/>
                                <w:numPr>
                                  <w:ilvl w:val="0"/>
                                  <w:numId w:val="17"/>
                                </w:numPr>
                                <w:spacing w:before="0" w:after="0"/>
                              </w:pPr>
                              <w:r>
                                <w:t xml:space="preserve">Strengthen workforce </w:t>
                              </w:r>
                              <w:r w:rsidRPr="004D56F3">
                                <w:t>capability</w:t>
                              </w:r>
                              <w:r>
                                <w:t xml:space="preserve">, talent and agility. </w:t>
                              </w:r>
                            </w:p>
                            <w:p w14:paraId="0B3B31C6" w14:textId="77777777" w:rsidR="00CE542E" w:rsidRPr="004D56F3" w:rsidRDefault="00CE542E" w:rsidP="00771EF0">
                              <w:pPr>
                                <w:pStyle w:val="1"/>
                                <w:numPr>
                                  <w:ilvl w:val="0"/>
                                  <w:numId w:val="17"/>
                                </w:numPr>
                                <w:spacing w:before="0" w:after="0"/>
                              </w:pPr>
                              <w:r>
                                <w:t>Foster</w:t>
                              </w:r>
                              <w:r w:rsidRPr="004D56F3">
                                <w:t xml:space="preserve"> a culture of high</w:t>
                              </w:r>
                              <w:r>
                                <w:t>-</w:t>
                              </w:r>
                              <w:r w:rsidRPr="004D56F3">
                                <w:t xml:space="preserve">performance that models </w:t>
                              </w:r>
                              <w:r>
                                <w:t>our</w:t>
                              </w:r>
                              <w:r w:rsidRPr="004D56F3">
                                <w:t xml:space="preserve"> values and promotes </w:t>
                              </w:r>
                              <w:r>
                                <w:t xml:space="preserve">transparency, </w:t>
                              </w:r>
                              <w:r w:rsidRPr="004D56F3">
                                <w:t>fairnes</w:t>
                              </w:r>
                              <w:r>
                                <w:t xml:space="preserve">s, integrity and accountability in all that we do. </w:t>
                              </w:r>
                            </w:p>
                            <w:p w14:paraId="78F13398" w14:textId="77777777" w:rsidR="00CE542E" w:rsidRPr="00591EE1" w:rsidRDefault="00CE542E" w:rsidP="00771EF0">
                              <w:pPr>
                                <w:pStyle w:val="1"/>
                                <w:numPr>
                                  <w:ilvl w:val="0"/>
                                  <w:numId w:val="17"/>
                                </w:numPr>
                                <w:spacing w:before="0" w:after="0"/>
                              </w:pPr>
                              <w:r>
                                <w:t xml:space="preserve">Actively champion inclusion and diversity, </w:t>
                              </w:r>
                              <w:r w:rsidRPr="00591EE1">
                                <w:t>collaboration and authentic leadership.</w:t>
                              </w:r>
                            </w:p>
                            <w:p w14:paraId="58555709" w14:textId="77777777" w:rsidR="00CE542E" w:rsidRPr="00591EE1" w:rsidRDefault="00CE542E" w:rsidP="00771EF0">
                              <w:pPr>
                                <w:pStyle w:val="ListParagraph"/>
                                <w:numPr>
                                  <w:ilvl w:val="0"/>
                                  <w:numId w:val="17"/>
                                </w:numPr>
                                <w:spacing w:before="0" w:after="0"/>
                                <w:ind w:left="357" w:hanging="357"/>
                              </w:pPr>
                              <w:r w:rsidRPr="00591EE1">
                                <w:t xml:space="preserve">Support innovation, quality assurance and excellence through processes and systems that support data management and information sharing. </w:t>
                              </w:r>
                            </w:p>
                            <w:p w14:paraId="0EF13BAE" w14:textId="55BE8798" w:rsidR="00CE542E" w:rsidRPr="00771EF0" w:rsidRDefault="00CE542E" w:rsidP="00771EF0">
                              <w:pPr>
                                <w:spacing w:before="0" w:after="0"/>
                                <w:rPr>
                                  <w:rFonts w:eastAsia="+mn-ea"/>
                                  <w:color w:val="FFFFFF" w:themeColor="background1"/>
                                  <w:kern w:val="0"/>
                                  <w:szCs w:val="22"/>
                                  <w:lang w:eastAsia="en-AU"/>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A4604B8" id="Group 235" o:spid="_x0000_s1038" style="position:absolute;margin-left:-7.2pt;margin-top:9.95pt;width:510.2pt;height:230.25pt;z-index:251662336;mso-height-relative:margin" coordsize="64795,28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">
                <v:roundrect id="Rounded Rectangle 140" o:spid="_x0000_s1039" style="position:absolute;width:64795;height:2828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XE8QA&#10;AADcAAAADwAAAGRycy9kb3ducmV2LnhtbESPQWsCQQyF74X+hyGF3upsi0hZHUUKggcFtS20t7AT&#10;dxZ3kmVnqtv++uYgeHshL1/emy2G2Joz9akRdvA8KsAQV+Ibrh18vK+eXsGkjOyxFSYHv5RgMb+/&#10;m2Hp5cJ7Oh9ybRTCqUQHIeeutDZVgSKmkXTEujtKHzHr2NfW93hReGztS1FMbMSG9UPAjt4CVafD&#10;T1QKfoc/Ea7GX53sdmGZPzenrXOPD8NyCibTkG/m6/Xaa/yxxtcyqs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ZFxPEAAAA3AAAAA8AAAAAAAAAAAAAAAAAmAIAAGRycy9k&#10;b3ducmV2LnhtbFBLBQYAAAAABAAEAPUAAACJAwAAAAA=&#10;" fillcolor="#ab054c" strokecolor="#8a002e" strokeweight="2.25pt">
                  <v:fill opacity="64250f"/>
                  <v:textbox inset="6mm,0">
                    <w:txbxContent>
                      <w:p w14:paraId="06D160DB" w14:textId="77777777" w:rsidR="00CE542E" w:rsidRPr="00F11267" w:rsidRDefault="00CE542E" w:rsidP="000F164D">
                        <w:pPr>
                          <w:pStyle w:val="Heading4"/>
                          <w:rPr>
                            <w:rFonts w:ascii="Arial" w:hAnsi="Arial" w:cs="Arial"/>
                          </w:rPr>
                        </w:pPr>
                        <w:bookmarkStart w:id="139" w:name="_Toc459712715"/>
                        <w:bookmarkStart w:id="140" w:name="_Toc460404387"/>
                        <w:r>
                          <w:rPr>
                            <w:rFonts w:ascii="Arial" w:hAnsi="Arial" w:cs="Arial"/>
                          </w:rPr>
                          <w:t>Objective Four</w:t>
                        </w:r>
                        <w:bookmarkEnd w:id="139"/>
                        <w:bookmarkEnd w:id="140"/>
                      </w:p>
                    </w:txbxContent>
                  </v:textbox>
                </v:roundrect>
                <v:roundrect id="Rounded Rectangle 141" o:spid="_x0000_s1040" style="position:absolute;left:1524;top:5429;width:20516;height:2133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RtsIA&#10;AADcAAAADwAAAGRycy9kb3ducmV2LnhtbERPTWvCQBC9C/6HZYTezCZSRaJrEMG2h/ZglHgdsmMS&#10;zM6G7Krx33cLBW/zeJ+zzgbTijv1rrGsIIliEMSl1Q1XCk7H/XQJwnlkja1lUvAkB9lmPFpjqu2D&#10;D3TPfSVCCLsUFdTed6mUrqzJoItsRxy4i+0N+gD7SuoeHyHctHIWxwtpsOHQUGNHu5rKa34zCvDy&#10;SR9m/j3P9fJqf86H4rm7FUq9TYbtCoSnwb/E/+4vHea/J/D3TLh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35G2wgAAANwAAAAPAAAAAAAAAAAAAAAAAJgCAABkcnMvZG93&#10;bnJldi54bWxQSwUGAAAAAAQABAD1AAAAhwMAAAAA&#10;" fillcolor="#960443" strokecolor="#f2f2f2 [3052]" strokeweight="2.25pt">
                  <v:textbox inset=",1mm,,1mm">
                    <w:txbxContent>
                      <w:p w14:paraId="7A33258F" w14:textId="77777777" w:rsidR="00CE542E" w:rsidRDefault="00CE542E" w:rsidP="00771EF0">
                        <w:pPr>
                          <w:spacing w:after="0"/>
                          <w:contextualSpacing/>
                          <w:rPr>
                            <w:i/>
                          </w:rPr>
                        </w:pPr>
                        <w:r>
                          <w:rPr>
                            <w:i/>
                          </w:rPr>
                          <w:t xml:space="preserve">A high-performing, agile, engaged and connected workforce that consistently delivers quality services. </w:t>
                        </w:r>
                      </w:p>
                      <w:p w14:paraId="480A796D" w14:textId="721A68CB" w:rsidR="00CE542E" w:rsidRPr="00161F25" w:rsidRDefault="00CE542E" w:rsidP="000F164D">
                        <w:pPr>
                          <w:spacing w:before="0" w:after="0"/>
                          <w:contextualSpacing/>
                          <w:rPr>
                            <w:rFonts w:eastAsia="Times New Roman"/>
                            <w:color w:val="F2F2F2" w:themeColor="background1" w:themeShade="F2"/>
                            <w:kern w:val="0"/>
                            <w:szCs w:val="24"/>
                            <w:lang w:val="en-AU" w:eastAsia="en-AU"/>
                          </w:rPr>
                        </w:pPr>
                      </w:p>
                    </w:txbxContent>
                  </v:textbox>
                </v:roundrect>
                <v:roundrect id="Rounded Rectangle 142" o:spid="_x0000_s1041" style="position:absolute;left:24860;top:5429;width:38817;height:2133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blnMIA&#10;AADcAAAADwAAAGRycy9kb3ducmV2LnhtbERPS2vCQBC+F/wPywje6kaRUqKr+KDiqdBE0OOQHZNo&#10;djbsbk3sr+8WCt7m43vOYtWbRtzJ+dqygsk4AUFcWF1zqeCYf7y+g/ABWWNjmRQ8yMNqOXhZYKpt&#10;x190z0IpYgj7FBVUIbSplL6oyKAf25Y4chfrDIYIXSm1wy6Gm0ZOk+RNGqw5NlTY0rai4pZ9GwW7&#10;jXuc99fT0WV8yvJbl7ufz6tSo2G/noMI1Ien+N990HH+bAp/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NuWcwgAAANwAAAAPAAAAAAAAAAAAAAAAAJgCAABkcnMvZG93&#10;bnJldi54bWxQSwUGAAAAAAQABAD1AAAAhwMAAAAA&#10;" fillcolor="#8a043d" strokecolor="white [3212]" strokeweight="2.25pt">
                  <v:textbox inset=",1mm,,1mm">
                    <w:txbxContent>
                      <w:p w14:paraId="0964BF2B" w14:textId="77777777" w:rsidR="00CE542E" w:rsidRPr="00F11267" w:rsidRDefault="00CE542E" w:rsidP="00771EF0">
                        <w:pPr>
                          <w:spacing w:after="0"/>
                          <w:contextualSpacing/>
                          <w:rPr>
                            <w:rFonts w:eastAsia="Times New Roman"/>
                            <w:sz w:val="28"/>
                            <w:szCs w:val="28"/>
                            <w:lang w:eastAsia="en-AU"/>
                          </w:rPr>
                        </w:pPr>
                        <w:r w:rsidRPr="00F11267">
                          <w:rPr>
                            <w:rFonts w:eastAsia="+mn-ea"/>
                            <w:b/>
                            <w:bCs/>
                            <w:color w:val="FFFFFF"/>
                            <w:sz w:val="28"/>
                            <w:szCs w:val="28"/>
                            <w:lang w:eastAsia="en-AU"/>
                          </w:rPr>
                          <w:t>Strategies:</w:t>
                        </w:r>
                      </w:p>
                      <w:p w14:paraId="79068C24" w14:textId="77777777" w:rsidR="00CE542E" w:rsidRPr="004D56F3" w:rsidRDefault="00CE542E" w:rsidP="00771EF0">
                        <w:pPr>
                          <w:pStyle w:val="1"/>
                          <w:numPr>
                            <w:ilvl w:val="0"/>
                            <w:numId w:val="17"/>
                          </w:numPr>
                          <w:spacing w:before="0" w:after="0"/>
                        </w:pPr>
                        <w:r>
                          <w:t xml:space="preserve">Strengthen workforce </w:t>
                        </w:r>
                        <w:r w:rsidRPr="004D56F3">
                          <w:t>capability</w:t>
                        </w:r>
                        <w:r>
                          <w:t xml:space="preserve">, talent and agility. </w:t>
                        </w:r>
                      </w:p>
                      <w:p w14:paraId="0B3B31C6" w14:textId="77777777" w:rsidR="00CE542E" w:rsidRPr="004D56F3" w:rsidRDefault="00CE542E" w:rsidP="00771EF0">
                        <w:pPr>
                          <w:pStyle w:val="1"/>
                          <w:numPr>
                            <w:ilvl w:val="0"/>
                            <w:numId w:val="17"/>
                          </w:numPr>
                          <w:spacing w:before="0" w:after="0"/>
                        </w:pPr>
                        <w:r>
                          <w:t>Foster</w:t>
                        </w:r>
                        <w:r w:rsidRPr="004D56F3">
                          <w:t xml:space="preserve"> a culture of high</w:t>
                        </w:r>
                        <w:r>
                          <w:t>-</w:t>
                        </w:r>
                        <w:r w:rsidRPr="004D56F3">
                          <w:t xml:space="preserve">performance that models </w:t>
                        </w:r>
                        <w:r>
                          <w:t>our</w:t>
                        </w:r>
                        <w:r w:rsidRPr="004D56F3">
                          <w:t xml:space="preserve"> values and promotes </w:t>
                        </w:r>
                        <w:r>
                          <w:t xml:space="preserve">transparency, </w:t>
                        </w:r>
                        <w:r w:rsidRPr="004D56F3">
                          <w:t>fairnes</w:t>
                        </w:r>
                        <w:r>
                          <w:t xml:space="preserve">s, integrity and accountability in all that we do. </w:t>
                        </w:r>
                      </w:p>
                      <w:p w14:paraId="78F13398" w14:textId="77777777" w:rsidR="00CE542E" w:rsidRPr="00591EE1" w:rsidRDefault="00CE542E" w:rsidP="00771EF0">
                        <w:pPr>
                          <w:pStyle w:val="1"/>
                          <w:numPr>
                            <w:ilvl w:val="0"/>
                            <w:numId w:val="17"/>
                          </w:numPr>
                          <w:spacing w:before="0" w:after="0"/>
                        </w:pPr>
                        <w:r>
                          <w:t xml:space="preserve">Actively champion inclusion and diversity, </w:t>
                        </w:r>
                        <w:r w:rsidRPr="00591EE1">
                          <w:t>collaboration and authentic leadership.</w:t>
                        </w:r>
                      </w:p>
                      <w:p w14:paraId="58555709" w14:textId="77777777" w:rsidR="00CE542E" w:rsidRPr="00591EE1" w:rsidRDefault="00CE542E" w:rsidP="00771EF0">
                        <w:pPr>
                          <w:pStyle w:val="ListParagraph"/>
                          <w:numPr>
                            <w:ilvl w:val="0"/>
                            <w:numId w:val="17"/>
                          </w:numPr>
                          <w:spacing w:before="0" w:after="0"/>
                          <w:ind w:left="357" w:hanging="357"/>
                        </w:pPr>
                        <w:r w:rsidRPr="00591EE1">
                          <w:t xml:space="preserve">Support innovation, quality assurance and excellence through processes and systems that support data management and information sharing. </w:t>
                        </w:r>
                      </w:p>
                      <w:p w14:paraId="0EF13BAE" w14:textId="55BE8798" w:rsidR="00CE542E" w:rsidRPr="00771EF0" w:rsidRDefault="00CE542E" w:rsidP="00771EF0">
                        <w:pPr>
                          <w:spacing w:before="0" w:after="0"/>
                          <w:rPr>
                            <w:rFonts w:eastAsia="+mn-ea"/>
                            <w:color w:val="FFFFFF" w:themeColor="background1"/>
                            <w:kern w:val="0"/>
                            <w:szCs w:val="22"/>
                            <w:lang w:eastAsia="en-AU"/>
                          </w:rPr>
                        </w:pPr>
                      </w:p>
                    </w:txbxContent>
                  </v:textbox>
                </v:roundrect>
              </v:group>
            </w:pict>
          </mc:Fallback>
        </mc:AlternateContent>
      </w:r>
    </w:p>
    <w:p w14:paraId="22E5F28E" w14:textId="77777777" w:rsidR="00F5406B" w:rsidRDefault="00F5406B" w:rsidP="00EA3335">
      <w:pPr>
        <w:rPr>
          <w:rFonts w:eastAsia="Calibri"/>
          <w:szCs w:val="22"/>
          <w:highlight w:val="yellow"/>
        </w:rPr>
      </w:pPr>
    </w:p>
    <w:p w14:paraId="6A96F4F2" w14:textId="77777777" w:rsidR="0041644D" w:rsidRDefault="0041644D" w:rsidP="000F164D">
      <w:pPr>
        <w:rPr>
          <w:rFonts w:eastAsia="Calibri"/>
          <w:szCs w:val="22"/>
        </w:rPr>
      </w:pPr>
    </w:p>
    <w:p w14:paraId="3C3FCD11" w14:textId="77777777" w:rsidR="0041644D" w:rsidRDefault="0041644D" w:rsidP="000F164D">
      <w:pPr>
        <w:rPr>
          <w:rFonts w:eastAsia="Calibri"/>
          <w:szCs w:val="22"/>
        </w:rPr>
      </w:pPr>
    </w:p>
    <w:p w14:paraId="76AAE741" w14:textId="77777777" w:rsidR="000F164D" w:rsidRDefault="000F164D" w:rsidP="000F164D">
      <w:pPr>
        <w:rPr>
          <w:rFonts w:eastAsia="Calibri"/>
          <w:szCs w:val="22"/>
          <w:highlight w:val="yellow"/>
        </w:rPr>
      </w:pPr>
    </w:p>
    <w:p w14:paraId="15769FE7" w14:textId="77777777" w:rsidR="000F164D" w:rsidRDefault="000F164D" w:rsidP="000F164D">
      <w:pPr>
        <w:rPr>
          <w:rFonts w:eastAsia="Calibri"/>
          <w:szCs w:val="22"/>
          <w:highlight w:val="yellow"/>
        </w:rPr>
      </w:pPr>
    </w:p>
    <w:p w14:paraId="02E11AFE" w14:textId="77777777" w:rsidR="000F164D" w:rsidRDefault="000F164D" w:rsidP="000F164D">
      <w:pPr>
        <w:rPr>
          <w:rFonts w:eastAsia="Calibri"/>
          <w:szCs w:val="22"/>
          <w:highlight w:val="yellow"/>
        </w:rPr>
      </w:pPr>
    </w:p>
    <w:p w14:paraId="10D52CFC" w14:textId="77777777" w:rsidR="000F164D" w:rsidRDefault="000F164D" w:rsidP="000F164D">
      <w:pPr>
        <w:rPr>
          <w:rFonts w:eastAsia="Calibri"/>
          <w:szCs w:val="22"/>
          <w:highlight w:val="yellow"/>
        </w:rPr>
      </w:pPr>
    </w:p>
    <w:p w14:paraId="5D2B878E" w14:textId="77777777" w:rsidR="000F164D" w:rsidRDefault="000F164D" w:rsidP="000F164D">
      <w:pPr>
        <w:rPr>
          <w:rFonts w:eastAsia="Calibri"/>
          <w:szCs w:val="22"/>
          <w:highlight w:val="yellow"/>
        </w:rPr>
      </w:pPr>
    </w:p>
    <w:p w14:paraId="69FC326B" w14:textId="77777777" w:rsidR="000F164D" w:rsidRDefault="000F164D" w:rsidP="000F164D">
      <w:pPr>
        <w:rPr>
          <w:rFonts w:eastAsia="Calibri"/>
          <w:szCs w:val="22"/>
          <w:highlight w:val="yellow"/>
        </w:rPr>
      </w:pPr>
    </w:p>
    <w:p w14:paraId="0B2718ED" w14:textId="77777777" w:rsidR="000F164D" w:rsidRDefault="000F164D" w:rsidP="000F164D">
      <w:pPr>
        <w:rPr>
          <w:rFonts w:eastAsia="Calibri"/>
          <w:szCs w:val="22"/>
          <w:highlight w:val="yellow"/>
        </w:rPr>
      </w:pPr>
    </w:p>
    <w:p w14:paraId="75F3FEB5" w14:textId="77777777" w:rsidR="000F164D" w:rsidRDefault="000F164D" w:rsidP="000F164D">
      <w:pPr>
        <w:rPr>
          <w:rFonts w:eastAsia="Calibri"/>
          <w:szCs w:val="22"/>
          <w:highlight w:val="yellow"/>
        </w:rPr>
      </w:pPr>
    </w:p>
    <w:p w14:paraId="2C7F51F4" w14:textId="77777777" w:rsidR="000F164D" w:rsidRDefault="000F164D" w:rsidP="000F164D">
      <w:pPr>
        <w:rPr>
          <w:rFonts w:eastAsia="Calibri"/>
          <w:szCs w:val="22"/>
          <w:highlight w:val="yellow"/>
        </w:rPr>
      </w:pPr>
    </w:p>
    <w:p w14:paraId="2B77BC35" w14:textId="77777777" w:rsidR="00C60996" w:rsidRDefault="00C60996" w:rsidP="00060E4F">
      <w:pPr>
        <w:tabs>
          <w:tab w:val="left" w:pos="567"/>
          <w:tab w:val="left" w:pos="1107"/>
        </w:tabs>
        <w:spacing w:line="259" w:lineRule="auto"/>
        <w:ind w:right="1374"/>
        <w:rPr>
          <w:rFonts w:eastAsia="Calibri"/>
          <w:b/>
          <w:kern w:val="0"/>
          <w:szCs w:val="22"/>
          <w:lang w:val="en-AU" w:eastAsia="en-US"/>
        </w:rPr>
      </w:pPr>
    </w:p>
    <w:p w14:paraId="006933F0" w14:textId="77777777" w:rsidR="00771EF0" w:rsidRPr="00405778" w:rsidRDefault="00771EF0" w:rsidP="00913AA5">
      <w:pPr>
        <w:tabs>
          <w:tab w:val="left" w:pos="567"/>
          <w:tab w:val="left" w:pos="1107"/>
        </w:tabs>
        <w:spacing w:before="240"/>
        <w:ind w:left="-142" w:right="1372"/>
        <w:rPr>
          <w:rFonts w:eastAsia="Calibri"/>
          <w:b/>
          <w:sz w:val="28"/>
          <w:szCs w:val="28"/>
        </w:rPr>
      </w:pPr>
      <w:r w:rsidRPr="00405778">
        <w:rPr>
          <w:rFonts w:eastAsia="Calibri"/>
          <w:b/>
          <w:sz w:val="28"/>
          <w:szCs w:val="28"/>
        </w:rPr>
        <w:t xml:space="preserve">Culture of inclusion and high-performance </w:t>
      </w:r>
    </w:p>
    <w:p w14:paraId="0BCE3533" w14:textId="77777777" w:rsidR="007056CF" w:rsidRDefault="007056CF" w:rsidP="00577601">
      <w:pPr>
        <w:tabs>
          <w:tab w:val="left" w:pos="567"/>
          <w:tab w:val="left" w:pos="1107"/>
        </w:tabs>
        <w:ind w:left="-142"/>
        <w:rPr>
          <w:rFonts w:eastAsia="Cambria"/>
        </w:rPr>
      </w:pPr>
      <w:r w:rsidRPr="00AB1214">
        <w:t xml:space="preserve">The Office of the IGEM </w:t>
      </w:r>
      <w:r w:rsidRPr="0033413E">
        <w:t xml:space="preserve">Workforce Strategy Sub-Committee </w:t>
      </w:r>
      <w:r>
        <w:t xml:space="preserve">was </w:t>
      </w:r>
      <w:r w:rsidRPr="0033413E">
        <w:t xml:space="preserve">established and met on </w:t>
      </w:r>
      <w:r>
        <w:t>four</w:t>
      </w:r>
      <w:r w:rsidRPr="0033413E">
        <w:t xml:space="preserve"> occasions</w:t>
      </w:r>
      <w:r>
        <w:t xml:space="preserve">. </w:t>
      </w:r>
    </w:p>
    <w:p w14:paraId="5EFA206E" w14:textId="77777777" w:rsidR="00771EF0" w:rsidRDefault="00771EF0" w:rsidP="00577601">
      <w:pPr>
        <w:spacing w:after="0"/>
        <w:ind w:left="-142"/>
        <w:rPr>
          <w:rFonts w:eastAsia="Times New Roman" w:cs="Times New Roman"/>
          <w:lang w:eastAsia="en-AU"/>
        </w:rPr>
      </w:pPr>
      <w:r>
        <w:rPr>
          <w:rFonts w:eastAsia="Cambria"/>
        </w:rPr>
        <w:t>During 2016-17, workforce</w:t>
      </w:r>
      <w:r>
        <w:rPr>
          <w:rFonts w:eastAsia="Times New Roman" w:cs="Times New Roman"/>
          <w:lang w:eastAsia="en-AU"/>
        </w:rPr>
        <w:t xml:space="preserve"> capability, diversity and </w:t>
      </w:r>
      <w:r w:rsidRPr="0033413E">
        <w:rPr>
          <w:rFonts w:eastAsia="Times New Roman" w:cs="Times New Roman"/>
          <w:lang w:eastAsia="en-AU"/>
        </w:rPr>
        <w:t xml:space="preserve">a culture of high-performance </w:t>
      </w:r>
      <w:r>
        <w:rPr>
          <w:rFonts w:eastAsia="Times New Roman" w:cs="Times New Roman"/>
          <w:lang w:eastAsia="en-AU"/>
        </w:rPr>
        <w:t xml:space="preserve">were </w:t>
      </w:r>
      <w:r w:rsidRPr="0033413E">
        <w:rPr>
          <w:rFonts w:eastAsia="Times New Roman" w:cs="Times New Roman"/>
          <w:lang w:eastAsia="en-AU"/>
        </w:rPr>
        <w:t>strengthened th</w:t>
      </w:r>
      <w:r>
        <w:rPr>
          <w:rFonts w:eastAsia="Times New Roman" w:cs="Times New Roman"/>
          <w:lang w:eastAsia="en-AU"/>
        </w:rPr>
        <w:t>r</w:t>
      </w:r>
      <w:r w:rsidRPr="0033413E">
        <w:rPr>
          <w:rFonts w:eastAsia="Times New Roman" w:cs="Times New Roman"/>
          <w:lang w:eastAsia="en-AU"/>
        </w:rPr>
        <w:t xml:space="preserve">ough </w:t>
      </w:r>
      <w:r>
        <w:rPr>
          <w:rFonts w:eastAsia="Times New Roman" w:cs="Times New Roman"/>
          <w:lang w:eastAsia="en-AU"/>
        </w:rPr>
        <w:t xml:space="preserve">the delivery of </w:t>
      </w:r>
      <w:r w:rsidRPr="0033413E">
        <w:rPr>
          <w:rFonts w:eastAsia="Times New Roman" w:cs="Times New Roman"/>
          <w:lang w:eastAsia="en-AU"/>
        </w:rPr>
        <w:t>key activities in the Office</w:t>
      </w:r>
      <w:r>
        <w:rPr>
          <w:rFonts w:eastAsia="Times New Roman" w:cs="Times New Roman"/>
          <w:lang w:eastAsia="en-AU"/>
        </w:rPr>
        <w:t xml:space="preserve"> of the IGEM </w:t>
      </w:r>
      <w:r w:rsidRPr="0033413E">
        <w:rPr>
          <w:rFonts w:eastAsia="Times New Roman" w:cs="Times New Roman"/>
          <w:lang w:eastAsia="en-AU"/>
        </w:rPr>
        <w:t>Workforce Strategy 2016-20</w:t>
      </w:r>
      <w:r>
        <w:rPr>
          <w:rFonts w:eastAsia="Times New Roman" w:cs="Times New Roman"/>
          <w:lang w:eastAsia="en-AU"/>
        </w:rPr>
        <w:t>. These included:</w:t>
      </w:r>
    </w:p>
    <w:p w14:paraId="3CBAF62D" w14:textId="77777777" w:rsidR="00771EF0" w:rsidRDefault="00771EF0" w:rsidP="00577601">
      <w:pPr>
        <w:pStyle w:val="ListParagraph"/>
        <w:numPr>
          <w:ilvl w:val="0"/>
          <w:numId w:val="43"/>
        </w:numPr>
        <w:tabs>
          <w:tab w:val="left" w:pos="284"/>
          <w:tab w:val="left" w:pos="1107"/>
        </w:tabs>
        <w:ind w:left="426" w:hanging="568"/>
        <w:rPr>
          <w:rFonts w:eastAsia="Cambria"/>
        </w:rPr>
      </w:pPr>
      <w:r>
        <w:rPr>
          <w:rFonts w:eastAsia="Cambria"/>
        </w:rPr>
        <w:t xml:space="preserve">release of a contemporary Cultural Capability Action Plan 2017-18 </w:t>
      </w:r>
    </w:p>
    <w:p w14:paraId="6B82F8E2" w14:textId="77777777" w:rsidR="00771EF0" w:rsidRDefault="00771EF0" w:rsidP="00577601">
      <w:pPr>
        <w:pStyle w:val="ListParagraph"/>
        <w:numPr>
          <w:ilvl w:val="0"/>
          <w:numId w:val="43"/>
        </w:numPr>
        <w:tabs>
          <w:tab w:val="left" w:pos="284"/>
          <w:tab w:val="left" w:pos="1107"/>
        </w:tabs>
        <w:ind w:left="284" w:hanging="426"/>
        <w:rPr>
          <w:rFonts w:eastAsia="Cambria"/>
        </w:rPr>
      </w:pPr>
      <w:r>
        <w:rPr>
          <w:rFonts w:eastAsia="Cambria"/>
        </w:rPr>
        <w:t xml:space="preserve">support for </w:t>
      </w:r>
      <w:r w:rsidRPr="00B90E07">
        <w:rPr>
          <w:rFonts w:eastAsia="Cambria"/>
        </w:rPr>
        <w:t xml:space="preserve">staff </w:t>
      </w:r>
      <w:r>
        <w:rPr>
          <w:rFonts w:eastAsia="Cambria"/>
        </w:rPr>
        <w:t xml:space="preserve">participation </w:t>
      </w:r>
      <w:r w:rsidRPr="00B90E07">
        <w:rPr>
          <w:rFonts w:eastAsia="Cambria"/>
        </w:rPr>
        <w:t xml:space="preserve">in leadership, training and development activities </w:t>
      </w:r>
      <w:r>
        <w:rPr>
          <w:rFonts w:eastAsia="Cambria"/>
        </w:rPr>
        <w:t xml:space="preserve">aligned to </w:t>
      </w:r>
      <w:r w:rsidRPr="00B90E07">
        <w:rPr>
          <w:rFonts w:eastAsia="Cambria"/>
        </w:rPr>
        <w:t>performance and development plans</w:t>
      </w:r>
    </w:p>
    <w:p w14:paraId="1A92DC75" w14:textId="77777777" w:rsidR="00771EF0" w:rsidRDefault="00771EF0" w:rsidP="00577601">
      <w:pPr>
        <w:pStyle w:val="ListParagraph"/>
        <w:numPr>
          <w:ilvl w:val="0"/>
          <w:numId w:val="43"/>
        </w:numPr>
        <w:tabs>
          <w:tab w:val="left" w:pos="284"/>
          <w:tab w:val="left" w:pos="1107"/>
        </w:tabs>
        <w:ind w:left="426" w:hanging="568"/>
        <w:rPr>
          <w:rFonts w:eastAsia="Cambria"/>
        </w:rPr>
      </w:pPr>
      <w:r>
        <w:rPr>
          <w:rFonts w:eastAsia="Cambria"/>
        </w:rPr>
        <w:t xml:space="preserve">promotion of </w:t>
      </w:r>
      <w:r w:rsidRPr="00B90E07">
        <w:rPr>
          <w:rFonts w:eastAsia="Cambria"/>
        </w:rPr>
        <w:t>flexible work arra</w:t>
      </w:r>
      <w:r>
        <w:rPr>
          <w:rFonts w:eastAsia="Cambria"/>
        </w:rPr>
        <w:t>ngements</w:t>
      </w:r>
    </w:p>
    <w:p w14:paraId="0F202CC7" w14:textId="77777777" w:rsidR="00771EF0" w:rsidRPr="00534E94" w:rsidRDefault="00771EF0" w:rsidP="00577601">
      <w:pPr>
        <w:pStyle w:val="ListParagraph"/>
        <w:numPr>
          <w:ilvl w:val="0"/>
          <w:numId w:val="43"/>
        </w:numPr>
        <w:tabs>
          <w:tab w:val="left" w:pos="284"/>
          <w:tab w:val="left" w:pos="1107"/>
        </w:tabs>
        <w:ind w:left="426" w:hanging="568"/>
        <w:rPr>
          <w:rFonts w:eastAsia="Cambria"/>
        </w:rPr>
      </w:pPr>
      <w:r w:rsidRPr="00534E94">
        <w:rPr>
          <w:rFonts w:eastAsia="Cambria"/>
        </w:rPr>
        <w:t>a diversity data drive to improve the quality of workforce data</w:t>
      </w:r>
    </w:p>
    <w:p w14:paraId="60629194" w14:textId="76627DAD" w:rsidR="00771EF0" w:rsidRDefault="00771EF0" w:rsidP="00577601">
      <w:pPr>
        <w:pStyle w:val="ListParagraph"/>
        <w:numPr>
          <w:ilvl w:val="0"/>
          <w:numId w:val="43"/>
        </w:numPr>
        <w:tabs>
          <w:tab w:val="left" w:pos="284"/>
          <w:tab w:val="left" w:pos="1107"/>
        </w:tabs>
        <w:ind w:left="426" w:hanging="568"/>
        <w:rPr>
          <w:rFonts w:eastAsia="Cambria"/>
        </w:rPr>
      </w:pPr>
      <w:r>
        <w:rPr>
          <w:rFonts w:eastAsia="Cambria"/>
        </w:rPr>
        <w:t xml:space="preserve">participation in </w:t>
      </w:r>
      <w:r w:rsidRPr="00B90E07">
        <w:rPr>
          <w:rFonts w:eastAsia="Cambria"/>
        </w:rPr>
        <w:t>White Ribbon accreditation</w:t>
      </w:r>
      <w:r>
        <w:rPr>
          <w:rFonts w:eastAsia="Cambria"/>
        </w:rPr>
        <w:t xml:space="preserve"> activities</w:t>
      </w:r>
      <w:r w:rsidR="00DC4946">
        <w:rPr>
          <w:rFonts w:eastAsia="Cambria"/>
        </w:rPr>
        <w:t xml:space="preserve"> (refer page 39</w:t>
      </w:r>
      <w:r w:rsidR="00420CBF">
        <w:rPr>
          <w:rFonts w:eastAsia="Cambria"/>
        </w:rPr>
        <w:t>)</w:t>
      </w:r>
    </w:p>
    <w:p w14:paraId="4077B8F3" w14:textId="77777777" w:rsidR="00771EF0" w:rsidRDefault="00771EF0" w:rsidP="00577601">
      <w:pPr>
        <w:pStyle w:val="ListParagraph"/>
        <w:numPr>
          <w:ilvl w:val="0"/>
          <w:numId w:val="43"/>
        </w:numPr>
        <w:tabs>
          <w:tab w:val="left" w:pos="284"/>
          <w:tab w:val="left" w:pos="1107"/>
        </w:tabs>
        <w:ind w:left="284" w:hanging="426"/>
        <w:rPr>
          <w:rFonts w:eastAsia="Cambria"/>
        </w:rPr>
      </w:pPr>
      <w:r>
        <w:rPr>
          <w:rFonts w:eastAsia="Cambria"/>
        </w:rPr>
        <w:t>alignment of role descriptions to the Queensland Public Sector Workforce Capability Success Profile.</w:t>
      </w:r>
    </w:p>
    <w:p w14:paraId="6D857FDA" w14:textId="3355D6C1" w:rsidR="002E7439" w:rsidRDefault="002E7439" w:rsidP="00577601">
      <w:pPr>
        <w:tabs>
          <w:tab w:val="left" w:pos="567"/>
          <w:tab w:val="left" w:pos="1107"/>
        </w:tabs>
        <w:ind w:left="-142"/>
        <w:rPr>
          <w:rFonts w:eastAsia="Cambria"/>
        </w:rPr>
      </w:pPr>
      <w:r w:rsidRPr="002E7439">
        <w:rPr>
          <w:rFonts w:eastAsia="Cambria"/>
        </w:rPr>
        <w:t>The Office of the IGEM, together with the PSBA, QFES and QPS, signed a new MOU with the Australian Defence Force (ADF) in June 2017 for the administration of Reservists.  The MOU sets out the protocols for both the employing agencies and the ADF with respect to the release of Reservist employees from their nomal workplace to undertake Reserve service, including overseas deployments.</w:t>
      </w:r>
    </w:p>
    <w:p w14:paraId="4BFF287B" w14:textId="560DA8B4" w:rsidR="00771EF0" w:rsidRPr="00515807" w:rsidRDefault="00771EF0" w:rsidP="00577601">
      <w:pPr>
        <w:tabs>
          <w:tab w:val="left" w:pos="567"/>
          <w:tab w:val="left" w:pos="1107"/>
        </w:tabs>
        <w:ind w:left="-142"/>
        <w:rPr>
          <w:rFonts w:eastAsia="Cambria"/>
        </w:rPr>
      </w:pPr>
      <w:r>
        <w:rPr>
          <w:rFonts w:eastAsia="Cambria"/>
        </w:rPr>
        <w:t xml:space="preserve">In partnership with the Public Service Commission, a pulse survey was conducted </w:t>
      </w:r>
      <w:r w:rsidR="00FB580E">
        <w:rPr>
          <w:rFonts w:eastAsia="Cambria"/>
        </w:rPr>
        <w:t>with</w:t>
      </w:r>
      <w:r>
        <w:rPr>
          <w:rFonts w:eastAsia="Cambria"/>
        </w:rPr>
        <w:t xml:space="preserve"> Office of the IGEM staff in February 2017. Positive results were achieved for organisational leadership (91%), agency engagement (82%) and uptake of flexible work options (80%). </w:t>
      </w:r>
    </w:p>
    <w:p w14:paraId="16C0C73C" w14:textId="77777777" w:rsidR="00771EF0" w:rsidRPr="0033413E" w:rsidRDefault="00771EF0" w:rsidP="00577601">
      <w:pPr>
        <w:spacing w:after="0"/>
        <w:ind w:left="-142"/>
      </w:pPr>
      <w:r w:rsidRPr="0033413E">
        <w:t>Office</w:t>
      </w:r>
      <w:r>
        <w:t xml:space="preserve"> of the IGEM </w:t>
      </w:r>
      <w:r w:rsidRPr="0033413E">
        <w:t>values and service principles</w:t>
      </w:r>
      <w:r>
        <w:t xml:space="preserve"> were further </w:t>
      </w:r>
      <w:r w:rsidRPr="0033413E">
        <w:t>embedded i</w:t>
      </w:r>
      <w:r>
        <w:t xml:space="preserve">nto business operations through </w:t>
      </w:r>
      <w:r w:rsidRPr="0033413E">
        <w:t>integrated and participative strategic and</w:t>
      </w:r>
      <w:r>
        <w:t xml:space="preserve"> operational planning processes that </w:t>
      </w:r>
      <w:r w:rsidRPr="0033413E">
        <w:t>includ</w:t>
      </w:r>
      <w:r>
        <w:t xml:space="preserve">ed engagement with </w:t>
      </w:r>
      <w:r w:rsidRPr="0033413E">
        <w:t xml:space="preserve">a diverse range of key external stakeholders. </w:t>
      </w:r>
    </w:p>
    <w:p w14:paraId="1D8B68A6" w14:textId="7EBEA45C" w:rsidR="007056CF" w:rsidRPr="0033413E" w:rsidRDefault="007056CF" w:rsidP="00577601">
      <w:pPr>
        <w:spacing w:after="0"/>
        <w:ind w:left="-142"/>
      </w:pPr>
      <w:r w:rsidRPr="0058104C">
        <w:t xml:space="preserve">Service agreements </w:t>
      </w:r>
      <w:r w:rsidR="00B1223E">
        <w:t xml:space="preserve">were </w:t>
      </w:r>
      <w:r w:rsidRPr="0058104C">
        <w:t>developed with PSBA and QFES for the delivery of business, human resource, governance and reporting, legal and media content services.</w:t>
      </w:r>
      <w:r w:rsidR="00977C2B">
        <w:t xml:space="preserve"> T</w:t>
      </w:r>
      <w:r w:rsidRPr="0058104C">
        <w:t xml:space="preserve">he service agreement with PSBA </w:t>
      </w:r>
      <w:r w:rsidR="00B1223E">
        <w:t>for f</w:t>
      </w:r>
      <w:r w:rsidRPr="0058104C">
        <w:t xml:space="preserve">rontline and </w:t>
      </w:r>
      <w:r w:rsidR="00B1223E">
        <w:t>d</w:t>
      </w:r>
      <w:r w:rsidRPr="0058104C">
        <w:t xml:space="preserve">igital </w:t>
      </w:r>
      <w:r w:rsidR="00B1223E">
        <w:t>s</w:t>
      </w:r>
      <w:r w:rsidRPr="0058104C">
        <w:t>ervices is expected to be finalised early in 2017-18.</w:t>
      </w:r>
    </w:p>
    <w:p w14:paraId="334FB7DF" w14:textId="77777777" w:rsidR="00405778" w:rsidRDefault="00405778" w:rsidP="00577601">
      <w:pPr>
        <w:ind w:left="-142"/>
        <w:rPr>
          <w:rFonts w:eastAsia="Calibri"/>
          <w:b/>
          <w:sz w:val="28"/>
          <w:szCs w:val="28"/>
        </w:rPr>
      </w:pPr>
      <w:r>
        <w:rPr>
          <w:rFonts w:eastAsia="Calibri"/>
          <w:b/>
          <w:sz w:val="28"/>
          <w:szCs w:val="28"/>
        </w:rPr>
        <w:br w:type="page"/>
      </w:r>
    </w:p>
    <w:p w14:paraId="5509E9A4" w14:textId="6876DED6" w:rsidR="00771EF0" w:rsidRPr="00405778" w:rsidRDefault="00771EF0" w:rsidP="00913AA5">
      <w:pPr>
        <w:tabs>
          <w:tab w:val="left" w:pos="567"/>
          <w:tab w:val="left" w:pos="1107"/>
        </w:tabs>
        <w:spacing w:before="240"/>
        <w:ind w:left="-142"/>
        <w:rPr>
          <w:rFonts w:eastAsia="Calibri"/>
          <w:b/>
          <w:sz w:val="28"/>
          <w:szCs w:val="28"/>
        </w:rPr>
      </w:pPr>
      <w:r w:rsidRPr="00405778">
        <w:rPr>
          <w:rFonts w:eastAsia="Calibri"/>
          <w:b/>
          <w:sz w:val="28"/>
          <w:szCs w:val="28"/>
        </w:rPr>
        <w:lastRenderedPageBreak/>
        <w:t xml:space="preserve">Innovative processes and systems </w:t>
      </w:r>
    </w:p>
    <w:p w14:paraId="78552525" w14:textId="77777777" w:rsidR="00771EF0" w:rsidRPr="00A44931" w:rsidRDefault="00771EF0" w:rsidP="00577601">
      <w:pPr>
        <w:autoSpaceDE w:val="0"/>
        <w:autoSpaceDN w:val="0"/>
        <w:spacing w:after="0"/>
        <w:ind w:left="-142"/>
      </w:pPr>
      <w:r w:rsidRPr="00A44931">
        <w:t>The Office of the IGEM streamlined policies and processes</w:t>
      </w:r>
      <w:r>
        <w:t xml:space="preserve">, and better applied </w:t>
      </w:r>
      <w:r w:rsidRPr="00A44931">
        <w:t xml:space="preserve">systems to support the delivery of </w:t>
      </w:r>
      <w:r>
        <w:t xml:space="preserve">quality </w:t>
      </w:r>
      <w:r w:rsidRPr="00A44931">
        <w:t xml:space="preserve">services to key stakeholders in 2016-17. </w:t>
      </w:r>
    </w:p>
    <w:p w14:paraId="757F0435" w14:textId="77777777" w:rsidR="00771EF0" w:rsidRDefault="00771EF0" w:rsidP="00577601">
      <w:pPr>
        <w:tabs>
          <w:tab w:val="left" w:pos="567"/>
          <w:tab w:val="left" w:pos="1107"/>
        </w:tabs>
        <w:ind w:left="-142"/>
        <w:rPr>
          <w:rFonts w:eastAsia="Cambria"/>
        </w:rPr>
      </w:pPr>
      <w:r>
        <w:rPr>
          <w:rFonts w:eastAsia="Cambria"/>
        </w:rPr>
        <w:t xml:space="preserve">Enhancements to the </w:t>
      </w:r>
      <w:r w:rsidRPr="00515807">
        <w:rPr>
          <w:rFonts w:eastAsia="Cambria"/>
        </w:rPr>
        <w:t>Customer Relat</w:t>
      </w:r>
      <w:r>
        <w:rPr>
          <w:rFonts w:eastAsia="Cambria"/>
        </w:rPr>
        <w:t xml:space="preserve">ionship Management (CRM) system enabled </w:t>
      </w:r>
      <w:r w:rsidRPr="00515807">
        <w:rPr>
          <w:rFonts w:eastAsia="Cambria"/>
        </w:rPr>
        <w:t>improved project reporting</w:t>
      </w:r>
      <w:r>
        <w:rPr>
          <w:rFonts w:eastAsia="Cambria"/>
        </w:rPr>
        <w:t xml:space="preserve"> </w:t>
      </w:r>
      <w:r w:rsidRPr="00515807">
        <w:rPr>
          <w:rFonts w:eastAsia="Cambria"/>
        </w:rPr>
        <w:t>and</w:t>
      </w:r>
      <w:r>
        <w:rPr>
          <w:rFonts w:eastAsia="Cambria"/>
        </w:rPr>
        <w:t xml:space="preserve"> application of </w:t>
      </w:r>
      <w:r w:rsidRPr="00515807">
        <w:rPr>
          <w:rFonts w:eastAsia="Cambria"/>
        </w:rPr>
        <w:t>the A</w:t>
      </w:r>
      <w:r>
        <w:rPr>
          <w:rFonts w:eastAsia="Cambria"/>
        </w:rPr>
        <w:t>EDP</w:t>
      </w:r>
      <w:r w:rsidRPr="00515807">
        <w:rPr>
          <w:rFonts w:eastAsia="Cambria"/>
        </w:rPr>
        <w:t xml:space="preserve">. </w:t>
      </w:r>
    </w:p>
    <w:p w14:paraId="1C571EBC" w14:textId="18D6C038" w:rsidR="00771EF0" w:rsidRDefault="00771EF0" w:rsidP="00577601">
      <w:pPr>
        <w:tabs>
          <w:tab w:val="left" w:pos="567"/>
          <w:tab w:val="left" w:pos="1107"/>
        </w:tabs>
        <w:ind w:left="-142"/>
        <w:rPr>
          <w:rFonts w:eastAsia="Cambria"/>
        </w:rPr>
      </w:pPr>
      <w:r>
        <w:rPr>
          <w:rFonts w:eastAsia="Cambria"/>
        </w:rPr>
        <w:t xml:space="preserve">Release of </w:t>
      </w:r>
      <w:r w:rsidR="00B1223E">
        <w:rPr>
          <w:rFonts w:eastAsia="Cambria"/>
        </w:rPr>
        <w:t xml:space="preserve">a secure portal, </w:t>
      </w:r>
      <w:r>
        <w:rPr>
          <w:rFonts w:eastAsia="Cambria"/>
        </w:rPr>
        <w:t>Collaboration Zone</w:t>
      </w:r>
      <w:r w:rsidR="00B1223E">
        <w:rPr>
          <w:rFonts w:eastAsia="Cambria"/>
        </w:rPr>
        <w:t>,</w:t>
      </w:r>
      <w:r>
        <w:rPr>
          <w:rFonts w:eastAsia="Cambria"/>
        </w:rPr>
        <w:t xml:space="preserve"> provided</w:t>
      </w:r>
      <w:r w:rsidRPr="00C63A28">
        <w:rPr>
          <w:rFonts w:eastAsia="Cambria"/>
        </w:rPr>
        <w:t xml:space="preserve"> </w:t>
      </w:r>
      <w:r w:rsidRPr="00515807">
        <w:rPr>
          <w:rFonts w:eastAsia="Cambria"/>
        </w:rPr>
        <w:t>disaster management stakeholders with the ability to record their observations about the performance of disaster management arrangements, informing good practice that can be shared with others</w:t>
      </w:r>
      <w:r>
        <w:rPr>
          <w:rFonts w:eastAsia="Cambria"/>
        </w:rPr>
        <w:t xml:space="preserve">. This information also </w:t>
      </w:r>
      <w:r w:rsidRPr="00515807">
        <w:rPr>
          <w:rFonts w:eastAsia="Cambria"/>
        </w:rPr>
        <w:t>provid</w:t>
      </w:r>
      <w:r>
        <w:rPr>
          <w:rFonts w:eastAsia="Cambria"/>
        </w:rPr>
        <w:t xml:space="preserve">ed </w:t>
      </w:r>
      <w:r w:rsidRPr="00515807">
        <w:rPr>
          <w:rFonts w:eastAsia="Cambria"/>
        </w:rPr>
        <w:t>signposts to the Office</w:t>
      </w:r>
      <w:r w:rsidR="00337CEA">
        <w:rPr>
          <w:rFonts w:eastAsia="Cambria"/>
        </w:rPr>
        <w:t xml:space="preserve"> of the IGEM</w:t>
      </w:r>
      <w:r w:rsidRPr="00515807">
        <w:rPr>
          <w:rFonts w:eastAsia="Cambria"/>
        </w:rPr>
        <w:t xml:space="preserve"> </w:t>
      </w:r>
      <w:r>
        <w:rPr>
          <w:rFonts w:eastAsia="Cambria"/>
        </w:rPr>
        <w:t xml:space="preserve">about aspects of emergency management arrangements </w:t>
      </w:r>
      <w:r w:rsidRPr="00515807">
        <w:rPr>
          <w:rFonts w:eastAsia="Cambria"/>
        </w:rPr>
        <w:t>that may require review.</w:t>
      </w:r>
      <w:r>
        <w:rPr>
          <w:rFonts w:eastAsia="Cambria"/>
        </w:rPr>
        <w:t xml:space="preserve"> </w:t>
      </w:r>
    </w:p>
    <w:p w14:paraId="49A54BDD" w14:textId="650DDEC0" w:rsidR="00771EF0" w:rsidRDefault="00771EF0" w:rsidP="00577601">
      <w:pPr>
        <w:tabs>
          <w:tab w:val="left" w:pos="567"/>
          <w:tab w:val="left" w:pos="1107"/>
        </w:tabs>
        <w:ind w:left="-142"/>
        <w:rPr>
          <w:rFonts w:eastAsia="Cambria"/>
        </w:rPr>
      </w:pPr>
      <w:r>
        <w:rPr>
          <w:rFonts w:eastAsia="Cambria"/>
        </w:rPr>
        <w:t>In 2016-17, di</w:t>
      </w:r>
      <w:r w:rsidRPr="00515807">
        <w:rPr>
          <w:rFonts w:eastAsia="Cambria"/>
        </w:rPr>
        <w:t xml:space="preserve">saster management stakeholders at </w:t>
      </w:r>
      <w:r>
        <w:rPr>
          <w:rFonts w:eastAsia="Cambria"/>
        </w:rPr>
        <w:t>the local and district level had the a</w:t>
      </w:r>
      <w:r w:rsidRPr="00515807">
        <w:rPr>
          <w:rFonts w:eastAsia="Cambria"/>
        </w:rPr>
        <w:t>bility to compare and contrast their own assessment of their disaster management plan with th</w:t>
      </w:r>
      <w:r>
        <w:rPr>
          <w:rFonts w:eastAsia="Cambria"/>
        </w:rPr>
        <w:t>ose of others across the state. The information was made available in July 2016 through Collaboration Zone</w:t>
      </w:r>
      <w:r w:rsidR="00B1223E">
        <w:rPr>
          <w:rFonts w:eastAsia="Cambria"/>
        </w:rPr>
        <w:t>.</w:t>
      </w:r>
      <w:r>
        <w:rPr>
          <w:rFonts w:eastAsia="Cambria"/>
        </w:rPr>
        <w:t xml:space="preserve"> </w:t>
      </w:r>
    </w:p>
    <w:p w14:paraId="655C27B0" w14:textId="6E62A0F5" w:rsidR="00771EF0" w:rsidRPr="00515807" w:rsidRDefault="00771EF0" w:rsidP="00577601">
      <w:pPr>
        <w:tabs>
          <w:tab w:val="left" w:pos="567"/>
          <w:tab w:val="left" w:pos="1107"/>
        </w:tabs>
        <w:ind w:left="-142"/>
        <w:rPr>
          <w:rFonts w:eastAsia="Cambria"/>
        </w:rPr>
      </w:pPr>
      <w:r>
        <w:rPr>
          <w:rFonts w:eastAsia="Cambria"/>
        </w:rPr>
        <w:t xml:space="preserve">The Office of the IGEM also introduced a common online platform, Basecamp, in July 2016 for </w:t>
      </w:r>
      <w:r w:rsidR="002E7439">
        <w:rPr>
          <w:rFonts w:eastAsia="Cambria"/>
        </w:rPr>
        <w:t>DMOs</w:t>
      </w:r>
      <w:r>
        <w:rPr>
          <w:rFonts w:eastAsia="Cambria"/>
        </w:rPr>
        <w:t xml:space="preserve">, agencies and academics to share information. </w:t>
      </w:r>
    </w:p>
    <w:p w14:paraId="1B6B72F1" w14:textId="53F97DFA" w:rsidR="00771EF0" w:rsidRPr="00251345" w:rsidRDefault="00771EF0" w:rsidP="00577601">
      <w:pPr>
        <w:tabs>
          <w:tab w:val="left" w:pos="567"/>
          <w:tab w:val="left" w:pos="1107"/>
        </w:tabs>
        <w:ind w:left="-142"/>
        <w:rPr>
          <w:rFonts w:eastAsia="Calibri"/>
        </w:rPr>
      </w:pPr>
      <w:r w:rsidRPr="00251345">
        <w:rPr>
          <w:rFonts w:eastAsia="Calibri"/>
        </w:rPr>
        <w:t xml:space="preserve">In July 2016, the Office of the IGEM participated in GovHack. This annual event brings application developers and data providers together to find innovative ways to use data to create, build and invent solutions for a range of challenges. </w:t>
      </w:r>
      <w:r>
        <w:rPr>
          <w:rFonts w:eastAsia="Calibri"/>
        </w:rPr>
        <w:t xml:space="preserve">The Office of the IGEM put up a challenge titled ‘Evacuation–help us get away’. The challenge attracted 11 team entries from across Queensland, and was won by the designer of a Facebook ‘bot’ </w:t>
      </w:r>
      <w:r w:rsidRPr="00255B19">
        <w:rPr>
          <w:rFonts w:eastAsia="Calibri"/>
        </w:rPr>
        <w:t>which collates and provides users with vital evacuation information</w:t>
      </w:r>
      <w:r>
        <w:rPr>
          <w:rFonts w:eastAsia="Calibri"/>
        </w:rPr>
        <w:t xml:space="preserve">. </w:t>
      </w:r>
    </w:p>
    <w:p w14:paraId="26B6556C" w14:textId="417B353A" w:rsidR="007056CF" w:rsidRPr="00251345" w:rsidRDefault="007056CF" w:rsidP="00577601">
      <w:pPr>
        <w:tabs>
          <w:tab w:val="left" w:pos="567"/>
          <w:tab w:val="left" w:pos="1107"/>
        </w:tabs>
        <w:ind w:left="-142"/>
        <w:rPr>
          <w:rFonts w:eastAsia="Calibri"/>
        </w:rPr>
      </w:pPr>
      <w:r>
        <w:rPr>
          <w:rFonts w:eastAsia="Calibri"/>
        </w:rPr>
        <w:t>The Office of the IGEM transitioned to the Aurion Human Resource Information System (HRIS) in 2016.  The Office of the IGEM, in partnership with QFES, has star</w:t>
      </w:r>
      <w:r w:rsidR="00A54711">
        <w:rPr>
          <w:rFonts w:eastAsia="Calibri"/>
        </w:rPr>
        <w:t xml:space="preserve">ted to plan and prepare for the </w:t>
      </w:r>
      <w:r>
        <w:rPr>
          <w:rFonts w:eastAsia="Calibri"/>
        </w:rPr>
        <w:t>implementation of Nexus</w:t>
      </w:r>
      <w:r w:rsidR="00C275DD">
        <w:rPr>
          <w:rFonts w:eastAsia="Calibri"/>
        </w:rPr>
        <w:t>, a human capital</w:t>
      </w:r>
      <w:r w:rsidR="00CF7636">
        <w:rPr>
          <w:rFonts w:eastAsia="Calibri"/>
        </w:rPr>
        <w:t xml:space="preserve"> managment</w:t>
      </w:r>
      <w:r w:rsidR="00C275DD">
        <w:rPr>
          <w:rFonts w:eastAsia="Calibri"/>
        </w:rPr>
        <w:t xml:space="preserve"> product,</w:t>
      </w:r>
      <w:r>
        <w:rPr>
          <w:rFonts w:eastAsia="Calibri"/>
        </w:rPr>
        <w:t xml:space="preserve"> in 2017-18. </w:t>
      </w:r>
    </w:p>
    <w:p w14:paraId="2402C575" w14:textId="77777777" w:rsidR="00771EF0" w:rsidRPr="00405778" w:rsidRDefault="00771EF0" w:rsidP="0051425D">
      <w:pPr>
        <w:tabs>
          <w:tab w:val="left" w:pos="567"/>
          <w:tab w:val="left" w:pos="1107"/>
        </w:tabs>
        <w:spacing w:before="240"/>
        <w:ind w:left="-142"/>
        <w:rPr>
          <w:rFonts w:eastAsia="Calibri"/>
          <w:b/>
          <w:sz w:val="28"/>
          <w:szCs w:val="28"/>
        </w:rPr>
      </w:pPr>
      <w:r w:rsidRPr="00405778">
        <w:rPr>
          <w:rFonts w:eastAsia="Calibri"/>
          <w:b/>
          <w:sz w:val="28"/>
          <w:szCs w:val="28"/>
        </w:rPr>
        <w:t xml:space="preserve">Customer satisfaction </w:t>
      </w:r>
    </w:p>
    <w:p w14:paraId="195DE1D0" w14:textId="77777777" w:rsidR="00771EF0" w:rsidRPr="00515807" w:rsidRDefault="00771EF0" w:rsidP="00577601">
      <w:pPr>
        <w:ind w:left="-142"/>
        <w:rPr>
          <w:rFonts w:eastAsia="Cambria"/>
        </w:rPr>
      </w:pPr>
      <w:r w:rsidRPr="00515807">
        <w:rPr>
          <w:rFonts w:eastAsia="Cambria"/>
        </w:rPr>
        <w:t>Customer satisfaction is a key indicator of the Office of the IG</w:t>
      </w:r>
      <w:r>
        <w:rPr>
          <w:rFonts w:eastAsia="Cambria"/>
        </w:rPr>
        <w:t xml:space="preserve">EM’s effectiveness as a catalyst </w:t>
      </w:r>
      <w:r w:rsidRPr="00515807">
        <w:rPr>
          <w:rFonts w:eastAsia="Cambria"/>
        </w:rPr>
        <w:t>for</w:t>
      </w:r>
      <w:r w:rsidRPr="00515807">
        <w:rPr>
          <w:rFonts w:eastAsia="Cambria"/>
          <w:spacing w:val="-3"/>
        </w:rPr>
        <w:t xml:space="preserve"> </w:t>
      </w:r>
      <w:r w:rsidRPr="00515807">
        <w:rPr>
          <w:rFonts w:eastAsia="Cambria"/>
        </w:rPr>
        <w:t>excellence in emergency</w:t>
      </w:r>
      <w:r w:rsidRPr="00515807">
        <w:rPr>
          <w:rFonts w:eastAsia="Cambria"/>
          <w:spacing w:val="-14"/>
        </w:rPr>
        <w:t xml:space="preserve"> </w:t>
      </w:r>
      <w:r w:rsidRPr="00515807">
        <w:rPr>
          <w:rFonts w:eastAsia="Cambria"/>
        </w:rPr>
        <w:t>management.</w:t>
      </w:r>
    </w:p>
    <w:p w14:paraId="41ACA6E7" w14:textId="21B8F330" w:rsidR="00771EF0" w:rsidRPr="00515807" w:rsidRDefault="00771EF0" w:rsidP="00577601">
      <w:pPr>
        <w:ind w:left="-142"/>
        <w:rPr>
          <w:rFonts w:eastAsia="Cambria"/>
        </w:rPr>
      </w:pPr>
      <w:r w:rsidRPr="00515807">
        <w:rPr>
          <w:rFonts w:eastAsia="Cambria"/>
        </w:rPr>
        <w:t xml:space="preserve">In </w:t>
      </w:r>
      <w:r>
        <w:rPr>
          <w:rFonts w:eastAsia="Cambria"/>
        </w:rPr>
        <w:t>February 2017</w:t>
      </w:r>
      <w:r w:rsidRPr="00515807">
        <w:rPr>
          <w:rFonts w:eastAsia="Cambria"/>
        </w:rPr>
        <w:t>, the Office of the IGEM conducted its annual customer satisfaction</w:t>
      </w:r>
      <w:r w:rsidRPr="00515807">
        <w:rPr>
          <w:rFonts w:eastAsia="Cambria"/>
          <w:spacing w:val="-25"/>
        </w:rPr>
        <w:t xml:space="preserve"> </w:t>
      </w:r>
      <w:r w:rsidRPr="00515807">
        <w:rPr>
          <w:rFonts w:eastAsia="Cambria"/>
        </w:rPr>
        <w:t>survey</w:t>
      </w:r>
      <w:r w:rsidRPr="00515807">
        <w:rPr>
          <w:rFonts w:eastAsia="Cambria"/>
          <w:spacing w:val="-1"/>
        </w:rPr>
        <w:t xml:space="preserve"> </w:t>
      </w:r>
      <w:r w:rsidRPr="00515807">
        <w:rPr>
          <w:rFonts w:eastAsia="Cambria"/>
        </w:rPr>
        <w:t xml:space="preserve">of stakeholders </w:t>
      </w:r>
      <w:r w:rsidR="00FB580E">
        <w:rPr>
          <w:rFonts w:eastAsia="Cambria"/>
        </w:rPr>
        <w:t>i</w:t>
      </w:r>
      <w:r w:rsidRPr="00515807">
        <w:rPr>
          <w:rFonts w:eastAsia="Cambria"/>
        </w:rPr>
        <w:t>nvolved in emergency</w:t>
      </w:r>
      <w:r w:rsidRPr="00515807">
        <w:rPr>
          <w:rFonts w:eastAsia="Cambria"/>
          <w:spacing w:val="-27"/>
        </w:rPr>
        <w:t xml:space="preserve"> </w:t>
      </w:r>
      <w:r w:rsidRPr="00515807">
        <w:rPr>
          <w:rFonts w:eastAsia="Cambria"/>
        </w:rPr>
        <w:t>and</w:t>
      </w:r>
      <w:r w:rsidRPr="00515807">
        <w:rPr>
          <w:rFonts w:eastAsia="Cambria"/>
          <w:spacing w:val="-1"/>
        </w:rPr>
        <w:t xml:space="preserve"> </w:t>
      </w:r>
      <w:r w:rsidRPr="00515807">
        <w:rPr>
          <w:rFonts w:eastAsia="Cambria"/>
        </w:rPr>
        <w:t>disaster management. The survey included a range of questions around staff performance, timeliness, accessibility, quality, advice given and services provided</w:t>
      </w:r>
      <w:r>
        <w:rPr>
          <w:rFonts w:eastAsia="Cambria"/>
        </w:rPr>
        <w:t xml:space="preserve">. These results </w:t>
      </w:r>
      <w:r w:rsidRPr="00515807">
        <w:rPr>
          <w:rFonts w:eastAsia="Cambria"/>
        </w:rPr>
        <w:t>assist the Office</w:t>
      </w:r>
      <w:r w:rsidR="00337CEA">
        <w:rPr>
          <w:rFonts w:eastAsia="Cambria"/>
        </w:rPr>
        <w:t xml:space="preserve"> of the IGEM</w:t>
      </w:r>
      <w:r w:rsidRPr="00515807">
        <w:rPr>
          <w:rFonts w:eastAsia="Cambria"/>
        </w:rPr>
        <w:t xml:space="preserve"> to identify where service improvement could be targeted.</w:t>
      </w:r>
    </w:p>
    <w:p w14:paraId="178BCA8E" w14:textId="77777777" w:rsidR="00771EF0" w:rsidRPr="00515807" w:rsidRDefault="00771EF0" w:rsidP="00577601">
      <w:pPr>
        <w:ind w:left="-142"/>
        <w:rPr>
          <w:rFonts w:eastAsia="Cambria"/>
          <w:spacing w:val="32"/>
        </w:rPr>
      </w:pPr>
      <w:r w:rsidRPr="00515807">
        <w:rPr>
          <w:rFonts w:eastAsia="Cambria"/>
        </w:rPr>
        <w:t>Overall, 8</w:t>
      </w:r>
      <w:r>
        <w:rPr>
          <w:rFonts w:eastAsia="Cambria"/>
        </w:rPr>
        <w:t>7</w:t>
      </w:r>
      <w:r w:rsidRPr="00515807">
        <w:rPr>
          <w:rFonts w:eastAsia="Cambria"/>
        </w:rPr>
        <w:t>% of stakeholders were either ‘satisfied’ or ‘very satisfied’ with the services and</w:t>
      </w:r>
      <w:r w:rsidRPr="00515807">
        <w:rPr>
          <w:rFonts w:eastAsia="Cambria"/>
          <w:spacing w:val="-31"/>
        </w:rPr>
        <w:t xml:space="preserve"> </w:t>
      </w:r>
      <w:r w:rsidRPr="00515807">
        <w:rPr>
          <w:rFonts w:eastAsia="Cambria"/>
        </w:rPr>
        <w:t>advice provided by the Office of the IGEM, exceeding the target of 80% satisfaction.</w:t>
      </w:r>
      <w:r w:rsidRPr="00515807">
        <w:rPr>
          <w:rFonts w:eastAsia="Cambria"/>
          <w:spacing w:val="32"/>
        </w:rPr>
        <w:t xml:space="preserve"> </w:t>
      </w:r>
    </w:p>
    <w:p w14:paraId="7E7065AD" w14:textId="77777777" w:rsidR="00771EF0" w:rsidRDefault="00771EF0">
      <w:pPr>
        <w:rPr>
          <w:rFonts w:eastAsia="Cambria"/>
        </w:rPr>
      </w:pPr>
      <w:r>
        <w:rPr>
          <w:rFonts w:eastAsia="Cambria"/>
        </w:rPr>
        <w:br w:type="page"/>
      </w:r>
    </w:p>
    <w:p w14:paraId="65850D5F" w14:textId="77777777" w:rsidR="00426138" w:rsidRPr="00341581" w:rsidRDefault="00426138" w:rsidP="00D77F80">
      <w:pPr>
        <w:pStyle w:val="Heading1"/>
        <w:ind w:left="0" w:right="77"/>
      </w:pPr>
      <w:bookmarkStart w:id="133" w:name="_Toc415049802"/>
      <w:bookmarkStart w:id="134" w:name="_Toc415050354"/>
      <w:bookmarkStart w:id="135" w:name="_Toc441671812"/>
      <w:bookmarkStart w:id="136" w:name="_Toc441672100"/>
      <w:bookmarkStart w:id="137" w:name="_Toc442168887"/>
      <w:bookmarkStart w:id="138" w:name="_Toc442339180"/>
      <w:bookmarkStart w:id="139" w:name="_Toc460406681"/>
      <w:bookmarkStart w:id="140" w:name="_Toc460406831"/>
      <w:bookmarkStart w:id="141" w:name="_Toc460406867"/>
      <w:bookmarkStart w:id="142" w:name="_Toc460406946"/>
      <w:bookmarkStart w:id="143" w:name="_Toc460407060"/>
      <w:bookmarkStart w:id="144" w:name="_Toc492622956"/>
      <w:r w:rsidRPr="00341581">
        <w:lastRenderedPageBreak/>
        <w:t>G</w:t>
      </w:r>
      <w:r w:rsidR="00B2375C">
        <w:t>overnance</w:t>
      </w:r>
      <w:bookmarkEnd w:id="133"/>
      <w:bookmarkEnd w:id="134"/>
      <w:bookmarkEnd w:id="135"/>
      <w:bookmarkEnd w:id="136"/>
      <w:bookmarkEnd w:id="137"/>
      <w:bookmarkEnd w:id="138"/>
      <w:bookmarkEnd w:id="139"/>
      <w:bookmarkEnd w:id="140"/>
      <w:bookmarkEnd w:id="141"/>
      <w:bookmarkEnd w:id="142"/>
      <w:bookmarkEnd w:id="143"/>
      <w:bookmarkEnd w:id="144"/>
    </w:p>
    <w:p w14:paraId="3C5ED5DF" w14:textId="77777777" w:rsidR="00426138" w:rsidRDefault="00426138" w:rsidP="007703EB">
      <w:pPr>
        <w:pStyle w:val="Heading2"/>
      </w:pPr>
      <w:bookmarkStart w:id="145" w:name="_Toc415049803"/>
      <w:bookmarkStart w:id="146" w:name="_Toc415050355"/>
      <w:bookmarkStart w:id="147" w:name="_Toc441671813"/>
      <w:bookmarkStart w:id="148" w:name="_Toc441672101"/>
      <w:bookmarkStart w:id="149" w:name="_Toc442168888"/>
      <w:bookmarkStart w:id="150" w:name="_Toc460406682"/>
      <w:bookmarkStart w:id="151" w:name="_Toc460406832"/>
      <w:bookmarkStart w:id="152" w:name="_Toc460406868"/>
      <w:bookmarkStart w:id="153" w:name="_Toc460406947"/>
      <w:bookmarkStart w:id="154" w:name="_Toc460407061"/>
      <w:bookmarkStart w:id="155" w:name="_Toc492622957"/>
      <w:r w:rsidRPr="00341581">
        <w:t>E</w:t>
      </w:r>
      <w:r w:rsidR="0070144E">
        <w:t xml:space="preserve">xecutive </w:t>
      </w:r>
      <w:r w:rsidR="00B34B8E">
        <w:t>m</w:t>
      </w:r>
      <w:r w:rsidRPr="00341581">
        <w:t>anagement</w:t>
      </w:r>
      <w:bookmarkEnd w:id="145"/>
      <w:bookmarkEnd w:id="146"/>
      <w:bookmarkEnd w:id="147"/>
      <w:bookmarkEnd w:id="148"/>
      <w:bookmarkEnd w:id="149"/>
      <w:bookmarkEnd w:id="150"/>
      <w:bookmarkEnd w:id="151"/>
      <w:bookmarkEnd w:id="152"/>
      <w:bookmarkEnd w:id="153"/>
      <w:bookmarkEnd w:id="154"/>
      <w:bookmarkEnd w:id="155"/>
    </w:p>
    <w:tbl>
      <w:tblPr>
        <w:tblStyle w:val="TableGrid"/>
        <w:tblW w:w="10598" w:type="dxa"/>
        <w:tblInd w:w="-284" w:type="dxa"/>
        <w:tblBorders>
          <w:top w:val="none" w:sz="0" w:space="0" w:color="auto"/>
          <w:left w:val="none" w:sz="0" w:space="0" w:color="auto"/>
          <w:bottom w:val="single" w:sz="12" w:space="0" w:color="AB054B"/>
          <w:right w:val="none" w:sz="0" w:space="0" w:color="auto"/>
          <w:insideH w:val="none" w:sz="0" w:space="0" w:color="auto"/>
          <w:insideV w:val="none" w:sz="0" w:space="0" w:color="auto"/>
        </w:tblBorders>
        <w:tblLook w:val="04A0" w:firstRow="1" w:lastRow="0" w:firstColumn="1" w:lastColumn="0" w:noHBand="0" w:noVBand="1"/>
      </w:tblPr>
      <w:tblGrid>
        <w:gridCol w:w="10598"/>
      </w:tblGrid>
      <w:tr w:rsidR="00B122E9" w14:paraId="2907BA1A" w14:textId="77777777" w:rsidTr="00577601">
        <w:trPr>
          <w:trHeight w:val="4723"/>
        </w:trPr>
        <w:tc>
          <w:tcPr>
            <w:tcW w:w="10598" w:type="dxa"/>
            <w:tcBorders>
              <w:top w:val="nil"/>
              <w:bottom w:val="single" w:sz="4" w:space="0" w:color="AB054B"/>
            </w:tcBorders>
            <w:vAlign w:val="center"/>
          </w:tcPr>
          <w:p w14:paraId="2BC447A8" w14:textId="60237EE2" w:rsidR="00826FF3" w:rsidRPr="00EC6C51" w:rsidRDefault="00826FF3" w:rsidP="00826FF3">
            <w:pPr>
              <w:spacing w:after="120"/>
              <w:rPr>
                <w:rFonts w:eastAsia="Cambria"/>
                <w:b/>
                <w:color w:val="FFFFFF" w:themeColor="text1"/>
              </w:rPr>
            </w:pPr>
            <w:r w:rsidRPr="00EC6C51">
              <w:rPr>
                <w:rFonts w:eastAsia="Cambria"/>
                <w:b/>
                <w:color w:val="AB054B"/>
                <w:sz w:val="28"/>
                <w:szCs w:val="24"/>
              </w:rPr>
              <w:t>Iain MacKenzie</w:t>
            </w:r>
            <w:r w:rsidRPr="00EC6C51">
              <w:rPr>
                <w:rFonts w:eastAsia="Cambria"/>
                <w:b/>
                <w:sz w:val="28"/>
                <w:szCs w:val="24"/>
              </w:rPr>
              <w:t xml:space="preserve"> </w:t>
            </w:r>
            <w:r w:rsidR="00B4291C" w:rsidRPr="00B4291C">
              <w:rPr>
                <w:rFonts w:eastAsia="Cambria"/>
                <w:b/>
                <w:sz w:val="24"/>
                <w:szCs w:val="24"/>
              </w:rPr>
              <w:t>AFSM</w:t>
            </w:r>
            <w:r w:rsidR="00B1223E">
              <w:rPr>
                <w:rFonts w:eastAsia="Cambria"/>
                <w:b/>
                <w:sz w:val="24"/>
                <w:szCs w:val="24"/>
              </w:rPr>
              <w:t>. MLshipMgt (Policing)</w:t>
            </w:r>
            <w:r w:rsidRPr="00B4291C">
              <w:rPr>
                <w:rFonts w:eastAsia="Cambria"/>
                <w:b/>
                <w:color w:val="FFFFFF" w:themeColor="text1"/>
                <w:sz w:val="24"/>
                <w:szCs w:val="24"/>
              </w:rPr>
              <w:t>A</w:t>
            </w:r>
            <w:r w:rsidRPr="00EC6C51">
              <w:rPr>
                <w:rFonts w:eastAsia="Cambria"/>
                <w:b/>
                <w:color w:val="FFFFFF" w:themeColor="text1"/>
                <w:sz w:val="24"/>
                <w:szCs w:val="24"/>
              </w:rPr>
              <w:t>FSM. MLshipMgt Policing)</w:t>
            </w:r>
            <w:r w:rsidRPr="00EC6C51">
              <w:rPr>
                <w:rFonts w:eastAsia="Cambria"/>
                <w:b/>
                <w:color w:val="FFFFFF" w:themeColor="text1"/>
              </w:rPr>
              <w:t xml:space="preserve"> </w:t>
            </w:r>
          </w:p>
          <w:p w14:paraId="23FDB77F" w14:textId="77777777" w:rsidR="00826FF3" w:rsidRPr="00826FF3" w:rsidRDefault="00826FF3" w:rsidP="00826FF3">
            <w:pPr>
              <w:spacing w:after="120"/>
              <w:rPr>
                <w:rFonts w:eastAsia="Cambria"/>
                <w:b/>
                <w:sz w:val="24"/>
                <w:szCs w:val="24"/>
              </w:rPr>
            </w:pPr>
            <w:r w:rsidRPr="00826FF3">
              <w:rPr>
                <w:rFonts w:eastAsia="Cambria"/>
                <w:b/>
                <w:sz w:val="24"/>
                <w:szCs w:val="24"/>
              </w:rPr>
              <w:t>Inspector-General Emergency Management</w:t>
            </w:r>
          </w:p>
          <w:p w14:paraId="57755735" w14:textId="77777777" w:rsidR="00826FF3" w:rsidRPr="00826FF3" w:rsidRDefault="00826FF3" w:rsidP="00826FF3">
            <w:pPr>
              <w:spacing w:after="120"/>
              <w:rPr>
                <w:rFonts w:eastAsia="Cambria"/>
              </w:rPr>
            </w:pPr>
            <w:r w:rsidRPr="00826FF3">
              <w:rPr>
                <w:rFonts w:eastAsia="Cambria"/>
              </w:rPr>
              <w:t xml:space="preserve">The Inspector-General Emergency Management is responsible for leading and managing the Office of the IGEM to provide assurance and advice to enable confidence in Queensland’s emergency management arrangements. </w:t>
            </w:r>
          </w:p>
          <w:p w14:paraId="4B9F5E73" w14:textId="77777777" w:rsidR="00826FF3" w:rsidRPr="00826FF3" w:rsidRDefault="00826FF3" w:rsidP="00826FF3">
            <w:pPr>
              <w:spacing w:after="120"/>
              <w:rPr>
                <w:rFonts w:eastAsia="Cambria"/>
              </w:rPr>
            </w:pPr>
            <w:r w:rsidRPr="00826FF3">
              <w:rPr>
                <w:rFonts w:eastAsia="Cambria"/>
              </w:rPr>
              <w:t>The Office of the IGEM regularly reviews and assesses the effectiveness of disaster management by local, district and state disaster management groups, including reviewing disaster management plans, regularly reviewing and assessing entities against the Standard, working with agencies to improve Queensland’s disaster management arrangements, and identifying opportunities for cooperative partnerships to improve disaster management outcomes.</w:t>
            </w:r>
          </w:p>
          <w:p w14:paraId="7444B569" w14:textId="0651AAF6" w:rsidR="00B122E9" w:rsidRDefault="002E46C4" w:rsidP="002E46C4">
            <w:pPr>
              <w:pStyle w:val="BodyText"/>
              <w:rPr>
                <w:rFonts w:eastAsia="Cambria"/>
              </w:rPr>
            </w:pPr>
            <w:r>
              <w:rPr>
                <w:rFonts w:eastAsia="Cambria"/>
              </w:rPr>
              <w:t>Prior to Iain’s appointment as Inspector-General Emergency Management, h</w:t>
            </w:r>
            <w:r w:rsidR="00826FF3" w:rsidRPr="00826FF3">
              <w:rPr>
                <w:rFonts w:eastAsia="Cambria"/>
              </w:rPr>
              <w:t>e was formerly the</w:t>
            </w:r>
            <w:r w:rsidR="00826FF3" w:rsidRPr="00826FF3">
              <w:rPr>
                <w:rFonts w:eastAsia="Cambria"/>
                <w:spacing w:val="-23"/>
              </w:rPr>
              <w:t xml:space="preserve"> </w:t>
            </w:r>
            <w:r w:rsidR="00826FF3" w:rsidRPr="00826FF3">
              <w:rPr>
                <w:rFonts w:eastAsia="Cambria"/>
              </w:rPr>
              <w:t xml:space="preserve">Deputy Commissioner of the former Queensland Fire and Rescue Service and served </w:t>
            </w:r>
            <w:r w:rsidR="00A54711">
              <w:rPr>
                <w:rFonts w:eastAsia="Cambria"/>
              </w:rPr>
              <w:t xml:space="preserve">in the fire service for </w:t>
            </w:r>
            <w:r w:rsidR="00826FF3" w:rsidRPr="00826FF3">
              <w:rPr>
                <w:rFonts w:eastAsia="Cambria"/>
              </w:rPr>
              <w:t>over 32 years. Iain holds a Master</w:t>
            </w:r>
            <w:r w:rsidR="00B4291C">
              <w:rPr>
                <w:rFonts w:eastAsia="Cambria"/>
              </w:rPr>
              <w:t>s</w:t>
            </w:r>
            <w:r w:rsidR="00826FF3" w:rsidRPr="00826FF3">
              <w:rPr>
                <w:rFonts w:eastAsia="Cambria"/>
              </w:rPr>
              <w:t xml:space="preserve"> Degree in Leadership and Management, is a graduate of the</w:t>
            </w:r>
            <w:r w:rsidR="00826FF3" w:rsidRPr="00826FF3">
              <w:rPr>
                <w:rFonts w:eastAsia="Cambria"/>
                <w:spacing w:val="-1"/>
              </w:rPr>
              <w:t xml:space="preserve"> </w:t>
            </w:r>
            <w:r w:rsidR="00826FF3" w:rsidRPr="00826FF3">
              <w:rPr>
                <w:rFonts w:eastAsia="Cambria"/>
              </w:rPr>
              <w:t>Institute of Fire Engineers and has attended the United States National Fire Academy</w:t>
            </w:r>
            <w:r w:rsidR="00826FF3" w:rsidRPr="00826FF3">
              <w:rPr>
                <w:rFonts w:eastAsia="Cambria"/>
                <w:spacing w:val="-30"/>
              </w:rPr>
              <w:t xml:space="preserve"> </w:t>
            </w:r>
            <w:r w:rsidR="00826FF3" w:rsidRPr="00826FF3">
              <w:rPr>
                <w:rFonts w:eastAsia="Cambria"/>
              </w:rPr>
              <w:t>Executive Fire Officer Program. Iain was awarded the Australian Fire Service Medal in</w:t>
            </w:r>
            <w:r w:rsidR="00826FF3" w:rsidRPr="00826FF3">
              <w:rPr>
                <w:rFonts w:eastAsia="Cambria"/>
                <w:spacing w:val="-31"/>
              </w:rPr>
              <w:t xml:space="preserve"> </w:t>
            </w:r>
            <w:r w:rsidR="00826FF3" w:rsidRPr="00826FF3">
              <w:rPr>
                <w:rFonts w:eastAsia="Cambria"/>
              </w:rPr>
              <w:t>2006.</w:t>
            </w:r>
          </w:p>
          <w:p w14:paraId="5F5DB579" w14:textId="0C840D8A" w:rsidR="00897C3D" w:rsidRPr="00A826A1" w:rsidRDefault="00897C3D" w:rsidP="002E46C4">
            <w:pPr>
              <w:pStyle w:val="BodyText"/>
              <w:rPr>
                <w:rStyle w:val="Style1Char"/>
              </w:rPr>
            </w:pPr>
          </w:p>
        </w:tc>
      </w:tr>
      <w:tr w:rsidR="00B122E9" w14:paraId="7872253B" w14:textId="77777777" w:rsidTr="00577601">
        <w:trPr>
          <w:trHeight w:val="2538"/>
        </w:trPr>
        <w:tc>
          <w:tcPr>
            <w:tcW w:w="10598" w:type="dxa"/>
            <w:tcBorders>
              <w:top w:val="single" w:sz="4" w:space="0" w:color="AB054B"/>
              <w:bottom w:val="single" w:sz="4" w:space="0" w:color="AB054B"/>
            </w:tcBorders>
            <w:vAlign w:val="center"/>
          </w:tcPr>
          <w:p w14:paraId="287B3470" w14:textId="77777777" w:rsidR="00B122E9" w:rsidRPr="00383C07" w:rsidRDefault="00B122E9" w:rsidP="00B122E9">
            <w:pPr>
              <w:pStyle w:val="BodyText"/>
              <w:rPr>
                <w:rFonts w:eastAsia="Arial"/>
                <w:b/>
                <w:sz w:val="28"/>
              </w:rPr>
            </w:pPr>
            <w:r w:rsidRPr="00383C07">
              <w:rPr>
                <w:b/>
                <w:color w:val="AB054B"/>
                <w:sz w:val="28"/>
              </w:rPr>
              <w:t>Mike Shapland</w:t>
            </w:r>
            <w:r w:rsidRPr="00383C07">
              <w:rPr>
                <w:b/>
                <w:sz w:val="28"/>
              </w:rPr>
              <w:t xml:space="preserve"> </w:t>
            </w:r>
            <w:r w:rsidRPr="00383C07">
              <w:rPr>
                <w:b/>
                <w:sz w:val="24"/>
                <w:szCs w:val="24"/>
              </w:rPr>
              <w:t>MBE</w:t>
            </w:r>
          </w:p>
          <w:p w14:paraId="0A98F752" w14:textId="77777777" w:rsidR="00826FF3" w:rsidRPr="00826FF3" w:rsidRDefault="00826FF3" w:rsidP="00826FF3">
            <w:pPr>
              <w:spacing w:after="120"/>
              <w:rPr>
                <w:rFonts w:eastAsia="Cambria"/>
                <w:b/>
                <w:sz w:val="24"/>
                <w:szCs w:val="24"/>
              </w:rPr>
            </w:pPr>
            <w:r w:rsidRPr="00826FF3">
              <w:rPr>
                <w:rFonts w:eastAsia="Cambria"/>
                <w:b/>
                <w:sz w:val="24"/>
                <w:szCs w:val="24"/>
              </w:rPr>
              <w:t>Director, Interoperability and Innovation</w:t>
            </w:r>
          </w:p>
          <w:p w14:paraId="2954B87E" w14:textId="583B26F5" w:rsidR="00826FF3" w:rsidRPr="00826FF3" w:rsidRDefault="00826FF3" w:rsidP="00826FF3">
            <w:pPr>
              <w:spacing w:after="120"/>
              <w:rPr>
                <w:rFonts w:eastAsia="Arial"/>
                <w:b/>
                <w:bCs/>
                <w:i/>
              </w:rPr>
            </w:pPr>
            <w:r w:rsidRPr="00826FF3">
              <w:rPr>
                <w:rFonts w:eastAsia="Cambria"/>
              </w:rPr>
              <w:t xml:space="preserve">The Director, Interoperability and Innovation facilitates programs and solutions designed to help the Office </w:t>
            </w:r>
            <w:r w:rsidR="00337CEA">
              <w:rPr>
                <w:rFonts w:eastAsia="Cambria"/>
              </w:rPr>
              <w:t xml:space="preserve">of the IGEM </w:t>
            </w:r>
            <w:r w:rsidRPr="00826FF3">
              <w:rPr>
                <w:rFonts w:eastAsia="Cambria"/>
              </w:rPr>
              <w:t>and agencies deliver better disaster management outcomes, and also contributes to the broader assessment work of the Office</w:t>
            </w:r>
            <w:r w:rsidR="00337CEA">
              <w:rPr>
                <w:rFonts w:eastAsia="Cambria"/>
              </w:rPr>
              <w:t xml:space="preserve"> of the IGEM</w:t>
            </w:r>
            <w:r w:rsidRPr="00826FF3">
              <w:rPr>
                <w:rFonts w:eastAsia="Cambria"/>
              </w:rPr>
              <w:t>. The role represents the Office of the IGEM at innovation forums and promotes interoperability across the sector.</w:t>
            </w:r>
          </w:p>
          <w:p w14:paraId="0AF06034" w14:textId="77777777" w:rsidR="00B122E9" w:rsidRDefault="00826FF3" w:rsidP="00826FF3">
            <w:pPr>
              <w:pStyle w:val="BodyText"/>
              <w:spacing w:after="120"/>
              <w:rPr>
                <w:rFonts w:eastAsia="Arial"/>
              </w:rPr>
            </w:pPr>
            <w:r w:rsidRPr="00826FF3">
              <w:rPr>
                <w:rFonts w:eastAsia="Arial"/>
              </w:rPr>
              <w:t>Mike is a graduate from the Royal Military Academy, Sandhurst, the British Army’s Technical</w:t>
            </w:r>
            <w:r w:rsidRPr="00826FF3">
              <w:rPr>
                <w:rFonts w:eastAsia="Arial"/>
                <w:spacing w:val="-30"/>
              </w:rPr>
              <w:t xml:space="preserve"> </w:t>
            </w:r>
            <w:r w:rsidRPr="00826FF3">
              <w:rPr>
                <w:rFonts w:eastAsia="Arial"/>
              </w:rPr>
              <w:t>and</w:t>
            </w:r>
            <w:r w:rsidRPr="00826FF3">
              <w:rPr>
                <w:rFonts w:eastAsia="Arial"/>
                <w:spacing w:val="-1"/>
              </w:rPr>
              <w:t xml:space="preserve"> </w:t>
            </w:r>
            <w:r w:rsidRPr="00826FF3">
              <w:rPr>
                <w:rFonts w:eastAsia="Arial"/>
              </w:rPr>
              <w:t>General Staff courses and from Griffith University’s Master of Business Administration</w:t>
            </w:r>
            <w:r w:rsidRPr="00826FF3">
              <w:rPr>
                <w:rFonts w:eastAsia="Arial"/>
                <w:spacing w:val="-36"/>
              </w:rPr>
              <w:t xml:space="preserve"> </w:t>
            </w:r>
            <w:r w:rsidRPr="00826FF3">
              <w:rPr>
                <w:rFonts w:eastAsia="Arial"/>
              </w:rPr>
              <w:t>program. Mike was awarded Member of the Order of the British Empire in the United Kingdom’s 1997 New Year’s Honours list.</w:t>
            </w:r>
          </w:p>
          <w:p w14:paraId="6D7D3BF5" w14:textId="323679FD" w:rsidR="00897C3D" w:rsidRPr="008B70CD" w:rsidRDefault="00897C3D" w:rsidP="00826FF3">
            <w:pPr>
              <w:pStyle w:val="BodyText"/>
              <w:spacing w:after="120"/>
              <w:rPr>
                <w:rStyle w:val="Style1Char"/>
              </w:rPr>
            </w:pPr>
          </w:p>
        </w:tc>
      </w:tr>
      <w:tr w:rsidR="00B122E9" w14:paraId="037AD93B" w14:textId="77777777" w:rsidTr="00577601">
        <w:trPr>
          <w:trHeight w:val="2598"/>
        </w:trPr>
        <w:tc>
          <w:tcPr>
            <w:tcW w:w="10598" w:type="dxa"/>
            <w:tcBorders>
              <w:top w:val="single" w:sz="4" w:space="0" w:color="AB054B"/>
              <w:bottom w:val="single" w:sz="4" w:space="0" w:color="AB054B"/>
            </w:tcBorders>
            <w:vAlign w:val="center"/>
          </w:tcPr>
          <w:p w14:paraId="0673E029" w14:textId="77777777" w:rsidR="00826FF3" w:rsidRPr="00EC6C51" w:rsidRDefault="00826FF3" w:rsidP="00826FF3">
            <w:pPr>
              <w:spacing w:after="120"/>
              <w:rPr>
                <w:rFonts w:eastAsia="Arial"/>
                <w:b/>
                <w:color w:val="AB054B"/>
                <w:sz w:val="28"/>
              </w:rPr>
            </w:pPr>
            <w:r>
              <w:rPr>
                <w:rFonts w:eastAsia="Cambria"/>
                <w:b/>
                <w:color w:val="AB054B"/>
                <w:sz w:val="28"/>
              </w:rPr>
              <w:t>Sarah March</w:t>
            </w:r>
          </w:p>
          <w:p w14:paraId="266B2D95" w14:textId="77777777" w:rsidR="00826FF3" w:rsidRPr="00826FF3" w:rsidRDefault="00826FF3" w:rsidP="00826FF3">
            <w:pPr>
              <w:spacing w:after="120"/>
              <w:rPr>
                <w:rFonts w:eastAsia="Arial"/>
                <w:b/>
                <w:sz w:val="24"/>
              </w:rPr>
            </w:pPr>
            <w:r w:rsidRPr="00826FF3">
              <w:rPr>
                <w:rFonts w:eastAsia="Cambria"/>
                <w:b/>
                <w:sz w:val="24"/>
              </w:rPr>
              <w:t>Director, Performance, Reporting and Policy Analysis</w:t>
            </w:r>
          </w:p>
          <w:p w14:paraId="78C078CE" w14:textId="6F3A4E1C" w:rsidR="00826FF3" w:rsidRPr="00826FF3" w:rsidRDefault="00826FF3" w:rsidP="00826FF3">
            <w:pPr>
              <w:spacing w:after="120"/>
              <w:rPr>
                <w:rFonts w:eastAsia="Cambria"/>
              </w:rPr>
            </w:pPr>
            <w:r w:rsidRPr="00826FF3">
              <w:rPr>
                <w:rFonts w:eastAsia="Cambria"/>
              </w:rPr>
              <w:t>The Director, Performance, Reporting and Policy Analysis is responsible for developing and coordinating internal strategy, planning and governance arrangements for the Office of the IGEM. The role also acts as a liaison point with PSBA and other agencies with regard to external policy and governance and provides policy advice to the Inspector-General</w:t>
            </w:r>
            <w:r w:rsidR="00A54711">
              <w:rPr>
                <w:rFonts w:eastAsia="Cambria"/>
              </w:rPr>
              <w:t xml:space="preserve"> Emergency Management</w:t>
            </w:r>
            <w:r w:rsidRPr="00826FF3">
              <w:rPr>
                <w:rFonts w:eastAsia="Cambria"/>
              </w:rPr>
              <w:t xml:space="preserve"> and the Executive Management Committee</w:t>
            </w:r>
            <w:r w:rsidR="00A54711">
              <w:rPr>
                <w:rFonts w:eastAsia="Cambria"/>
              </w:rPr>
              <w:t xml:space="preserve"> (EMC)</w:t>
            </w:r>
            <w:r w:rsidRPr="00826FF3">
              <w:rPr>
                <w:rFonts w:eastAsia="Cambria"/>
              </w:rPr>
              <w:t>.</w:t>
            </w:r>
          </w:p>
          <w:p w14:paraId="74EAD139" w14:textId="77777777" w:rsidR="00B122E9" w:rsidRDefault="00826FF3" w:rsidP="00826FF3">
            <w:pPr>
              <w:pStyle w:val="BodyText"/>
              <w:spacing w:after="120"/>
              <w:rPr>
                <w:rFonts w:eastAsia="Cambria"/>
              </w:rPr>
            </w:pPr>
            <w:r w:rsidRPr="00826FF3">
              <w:rPr>
                <w:rFonts w:eastAsia="Cambria"/>
              </w:rPr>
              <w:t>Sarah holds a Bachelor of Arts (Psychology) and Post Graduate qualifications in Psychology.</w:t>
            </w:r>
          </w:p>
          <w:p w14:paraId="5AB8ED77" w14:textId="0AE76236" w:rsidR="00897C3D" w:rsidRPr="00A826A1" w:rsidRDefault="00897C3D" w:rsidP="00826FF3">
            <w:pPr>
              <w:pStyle w:val="BodyText"/>
              <w:spacing w:after="120"/>
              <w:rPr>
                <w:rStyle w:val="Style1Char"/>
              </w:rPr>
            </w:pPr>
          </w:p>
        </w:tc>
      </w:tr>
    </w:tbl>
    <w:p w14:paraId="06483526" w14:textId="77777777" w:rsidR="00577601" w:rsidRDefault="00577601">
      <w:r>
        <w:br w:type="page"/>
      </w:r>
    </w:p>
    <w:tbl>
      <w:tblPr>
        <w:tblStyle w:val="TableGrid"/>
        <w:tblW w:w="10740" w:type="dxa"/>
        <w:tblInd w:w="-426" w:type="dxa"/>
        <w:tblBorders>
          <w:top w:val="none" w:sz="0" w:space="0" w:color="auto"/>
          <w:left w:val="none" w:sz="0" w:space="0" w:color="auto"/>
          <w:bottom w:val="single" w:sz="12" w:space="0" w:color="AB054B"/>
          <w:right w:val="none" w:sz="0" w:space="0" w:color="auto"/>
          <w:insideH w:val="none" w:sz="0" w:space="0" w:color="auto"/>
          <w:insideV w:val="none" w:sz="0" w:space="0" w:color="auto"/>
        </w:tblBorders>
        <w:tblLook w:val="04A0" w:firstRow="1" w:lastRow="0" w:firstColumn="1" w:lastColumn="0" w:noHBand="0" w:noVBand="1"/>
      </w:tblPr>
      <w:tblGrid>
        <w:gridCol w:w="10740"/>
      </w:tblGrid>
      <w:tr w:rsidR="00B122E9" w14:paraId="12AD1F1E" w14:textId="77777777" w:rsidTr="00577601">
        <w:trPr>
          <w:trHeight w:val="1691"/>
        </w:trPr>
        <w:tc>
          <w:tcPr>
            <w:tcW w:w="10740" w:type="dxa"/>
            <w:tcBorders>
              <w:top w:val="nil"/>
              <w:bottom w:val="single" w:sz="4" w:space="0" w:color="AB054B"/>
            </w:tcBorders>
            <w:vAlign w:val="center"/>
          </w:tcPr>
          <w:p w14:paraId="1AEC6E99" w14:textId="6E5321E5" w:rsidR="00B122E9" w:rsidRPr="00383C07" w:rsidRDefault="00B122E9" w:rsidP="00B122E9">
            <w:pPr>
              <w:pStyle w:val="BodyText"/>
              <w:rPr>
                <w:rFonts w:eastAsia="Arial"/>
                <w:b/>
                <w:color w:val="AB054B"/>
                <w:sz w:val="28"/>
              </w:rPr>
            </w:pPr>
            <w:r w:rsidRPr="00383C07">
              <w:rPr>
                <w:b/>
                <w:color w:val="AB054B"/>
                <w:sz w:val="28"/>
              </w:rPr>
              <w:lastRenderedPageBreak/>
              <w:t>Rowena Richardson</w:t>
            </w:r>
          </w:p>
          <w:p w14:paraId="6A077CC2" w14:textId="77777777" w:rsidR="00826FF3" w:rsidRPr="00826FF3" w:rsidRDefault="00826FF3" w:rsidP="00826FF3">
            <w:pPr>
              <w:spacing w:after="120"/>
              <w:rPr>
                <w:rFonts w:eastAsia="Arial"/>
                <w:b/>
                <w:sz w:val="24"/>
              </w:rPr>
            </w:pPr>
            <w:r w:rsidRPr="00826FF3">
              <w:rPr>
                <w:rFonts w:eastAsia="Cambria"/>
                <w:b/>
                <w:sz w:val="24"/>
              </w:rPr>
              <w:t>Director, Standards, Best Practice and Evaluation</w:t>
            </w:r>
          </w:p>
          <w:p w14:paraId="3C4A031B" w14:textId="169F33D3" w:rsidR="00826FF3" w:rsidRPr="00826FF3" w:rsidRDefault="00826FF3" w:rsidP="00826FF3">
            <w:pPr>
              <w:spacing w:after="120"/>
              <w:rPr>
                <w:rFonts w:eastAsia="Cambria"/>
              </w:rPr>
            </w:pPr>
            <w:r w:rsidRPr="00826FF3">
              <w:rPr>
                <w:rFonts w:eastAsia="Cambria"/>
              </w:rPr>
              <w:t>The Director, Standards, Best Practice and Evaluation is responsible for the</w:t>
            </w:r>
            <w:r w:rsidR="00A54711">
              <w:rPr>
                <w:rFonts w:eastAsia="Cambria"/>
              </w:rPr>
              <w:t xml:space="preserve"> management and performance of the Framework, including the Standard and AEDP.</w:t>
            </w:r>
          </w:p>
          <w:p w14:paraId="6F696087" w14:textId="77777777" w:rsidR="00B122E9" w:rsidRDefault="00826FF3" w:rsidP="00826FF3">
            <w:pPr>
              <w:pStyle w:val="BodyText"/>
              <w:spacing w:after="120"/>
              <w:rPr>
                <w:rFonts w:eastAsia="Cambria"/>
              </w:rPr>
            </w:pPr>
            <w:r w:rsidRPr="00826FF3">
              <w:rPr>
                <w:rFonts w:eastAsia="Cambria"/>
              </w:rPr>
              <w:t>Rowena has specific expertise in systems analysis and improvement, holds a Master of</w:t>
            </w:r>
            <w:r w:rsidRPr="00826FF3">
              <w:rPr>
                <w:rFonts w:eastAsia="Cambria"/>
                <w:spacing w:val="-33"/>
              </w:rPr>
              <w:t xml:space="preserve"> </w:t>
            </w:r>
            <w:r w:rsidRPr="00826FF3">
              <w:rPr>
                <w:rFonts w:eastAsia="Cambria"/>
              </w:rPr>
              <w:t>Health Administration, a Bachelor of Health Science and Post Graduate Certificates in Critical</w:t>
            </w:r>
            <w:r w:rsidRPr="00826FF3">
              <w:rPr>
                <w:rFonts w:eastAsia="Cambria"/>
                <w:spacing w:val="-18"/>
              </w:rPr>
              <w:t xml:space="preserve"> </w:t>
            </w:r>
            <w:r w:rsidRPr="00826FF3">
              <w:rPr>
                <w:rFonts w:eastAsia="Cambria"/>
              </w:rPr>
              <w:t>Care Nursing and Health</w:t>
            </w:r>
            <w:r w:rsidRPr="00826FF3">
              <w:rPr>
                <w:rFonts w:eastAsia="Cambria"/>
                <w:spacing w:val="-8"/>
              </w:rPr>
              <w:t xml:space="preserve"> </w:t>
            </w:r>
            <w:r w:rsidRPr="00826FF3">
              <w:rPr>
                <w:rFonts w:eastAsia="Cambria"/>
              </w:rPr>
              <w:t>Management.</w:t>
            </w:r>
          </w:p>
          <w:p w14:paraId="07318AF9" w14:textId="7E65FA79" w:rsidR="00897C3D" w:rsidRPr="00A826A1" w:rsidRDefault="00897C3D" w:rsidP="00826FF3">
            <w:pPr>
              <w:pStyle w:val="BodyText"/>
              <w:spacing w:after="120"/>
              <w:rPr>
                <w:rStyle w:val="Style1Char"/>
              </w:rPr>
            </w:pPr>
          </w:p>
        </w:tc>
      </w:tr>
      <w:tr w:rsidR="00B122E9" w14:paraId="0A9BCEC9" w14:textId="77777777" w:rsidTr="00577601">
        <w:trPr>
          <w:trHeight w:val="1686"/>
        </w:trPr>
        <w:tc>
          <w:tcPr>
            <w:tcW w:w="10740" w:type="dxa"/>
            <w:tcBorders>
              <w:top w:val="single" w:sz="4" w:space="0" w:color="AB054B"/>
              <w:bottom w:val="single" w:sz="4" w:space="0" w:color="AB054B"/>
            </w:tcBorders>
            <w:vAlign w:val="center"/>
          </w:tcPr>
          <w:p w14:paraId="168F7F44" w14:textId="77777777" w:rsidR="00B122E9" w:rsidRPr="00383C07" w:rsidRDefault="00B122E9" w:rsidP="00B122E9">
            <w:pPr>
              <w:pStyle w:val="TableParagraph"/>
              <w:spacing w:before="120" w:after="120" w:line="248" w:lineRule="exact"/>
              <w:rPr>
                <w:rFonts w:ascii="Arial" w:eastAsia="Arial" w:hAnsi="Arial" w:cs="Arial"/>
                <w:color w:val="AB054B"/>
              </w:rPr>
            </w:pPr>
            <w:r w:rsidRPr="00383C07">
              <w:rPr>
                <w:rFonts w:ascii="Arial" w:eastAsiaTheme="minorHAnsi" w:hAnsi="Arial" w:cs="Arial"/>
                <w:b/>
                <w:color w:val="AB054B"/>
                <w:kern w:val="20"/>
                <w:sz w:val="28"/>
                <w:szCs w:val="20"/>
                <w:lang w:eastAsia="ja-JP"/>
              </w:rPr>
              <w:t>Phil Nickerson</w:t>
            </w:r>
          </w:p>
          <w:p w14:paraId="5C062852" w14:textId="77777777" w:rsidR="00826FF3" w:rsidRPr="00826FF3" w:rsidRDefault="00826FF3" w:rsidP="00826FF3">
            <w:pPr>
              <w:spacing w:after="120"/>
              <w:rPr>
                <w:rFonts w:eastAsia="Cambria"/>
                <w:b/>
                <w:sz w:val="24"/>
                <w:szCs w:val="24"/>
              </w:rPr>
            </w:pPr>
            <w:r w:rsidRPr="00826FF3">
              <w:rPr>
                <w:rFonts w:eastAsia="Cambria"/>
                <w:b/>
                <w:sz w:val="24"/>
                <w:szCs w:val="24"/>
              </w:rPr>
              <w:t>Director, Community and Stakeholder Engagement</w:t>
            </w:r>
          </w:p>
          <w:p w14:paraId="7345C4BA" w14:textId="71F04DB4" w:rsidR="00826FF3" w:rsidRPr="00826FF3" w:rsidRDefault="00826FF3" w:rsidP="00826FF3">
            <w:pPr>
              <w:spacing w:after="120"/>
              <w:rPr>
                <w:rFonts w:eastAsia="Cambria"/>
              </w:rPr>
            </w:pPr>
            <w:r w:rsidRPr="00826FF3">
              <w:rPr>
                <w:rFonts w:eastAsia="Cambria"/>
              </w:rPr>
              <w:t>The Director, Community and Stakeholder Engagement oversees the active engagement of stakeholders within the disaster management sphere, non-government organisations and the public for the Office of the IGEM. The role also provides strategic advice to the Inspector-General</w:t>
            </w:r>
            <w:r w:rsidR="00A54711">
              <w:rPr>
                <w:rFonts w:eastAsia="Cambria"/>
              </w:rPr>
              <w:t xml:space="preserve"> Emergency Management</w:t>
            </w:r>
            <w:r w:rsidRPr="00826FF3">
              <w:rPr>
                <w:rFonts w:eastAsia="Cambria"/>
              </w:rPr>
              <w:t xml:space="preserve"> and the </w:t>
            </w:r>
            <w:r w:rsidR="00A54711">
              <w:rPr>
                <w:rFonts w:eastAsia="Cambria"/>
              </w:rPr>
              <w:t>EMC</w:t>
            </w:r>
            <w:r w:rsidRPr="00826FF3">
              <w:rPr>
                <w:rFonts w:eastAsia="Cambria"/>
              </w:rPr>
              <w:t xml:space="preserve"> regarding corporate communications, media relations and issues management.</w:t>
            </w:r>
          </w:p>
          <w:p w14:paraId="38A91FBE" w14:textId="77777777" w:rsidR="00B122E9" w:rsidRDefault="00826FF3" w:rsidP="00826FF3">
            <w:pPr>
              <w:pStyle w:val="BodyText"/>
              <w:spacing w:after="120"/>
              <w:rPr>
                <w:rFonts w:eastAsia="Cambria"/>
              </w:rPr>
            </w:pPr>
            <w:r w:rsidRPr="00826FF3">
              <w:rPr>
                <w:rFonts w:eastAsia="Cambria"/>
              </w:rPr>
              <w:t>Phil holds a Bachelor of Business (Communications) and a Bachelor of Business (Accountancy).</w:t>
            </w:r>
          </w:p>
          <w:p w14:paraId="4C26E13D" w14:textId="569905D6" w:rsidR="00897C3D" w:rsidRDefault="00897C3D" w:rsidP="00826FF3">
            <w:pPr>
              <w:pStyle w:val="BodyText"/>
              <w:spacing w:after="120"/>
            </w:pPr>
          </w:p>
        </w:tc>
      </w:tr>
    </w:tbl>
    <w:p w14:paraId="16589E88" w14:textId="77777777" w:rsidR="00B50C2F" w:rsidRDefault="00B50C2F">
      <w:pPr>
        <w:rPr>
          <w:b/>
          <w:color w:val="AB054B"/>
          <w:sz w:val="28"/>
        </w:rPr>
      </w:pPr>
      <w:r>
        <w:rPr>
          <w:b/>
          <w:color w:val="AB054B"/>
          <w:sz w:val="28"/>
        </w:rPr>
        <w:br w:type="page"/>
      </w:r>
    </w:p>
    <w:p w14:paraId="346C1D31" w14:textId="77777777" w:rsidR="00633B9E" w:rsidRPr="00EC6C51" w:rsidRDefault="00633B9E" w:rsidP="007703EB">
      <w:pPr>
        <w:pStyle w:val="Heading2"/>
      </w:pPr>
      <w:bookmarkStart w:id="156" w:name="_Toc460406683"/>
      <w:bookmarkStart w:id="157" w:name="_Toc460406833"/>
      <w:bookmarkStart w:id="158" w:name="_Toc460406869"/>
      <w:bookmarkStart w:id="159" w:name="_Toc460406948"/>
      <w:bookmarkStart w:id="160" w:name="_Toc460407062"/>
      <w:bookmarkStart w:id="161" w:name="_Toc492622958"/>
      <w:bookmarkStart w:id="162" w:name="_Toc458426061"/>
      <w:bookmarkStart w:id="163" w:name="_Toc460406684"/>
      <w:bookmarkStart w:id="164" w:name="_Toc460406834"/>
      <w:bookmarkStart w:id="165" w:name="_Toc460406870"/>
      <w:bookmarkStart w:id="166" w:name="_Toc460406949"/>
      <w:bookmarkStart w:id="167" w:name="_Toc460407063"/>
      <w:bookmarkStart w:id="168" w:name="_Toc415049806"/>
      <w:bookmarkStart w:id="169" w:name="_Toc415050358"/>
      <w:bookmarkStart w:id="170" w:name="_Toc441671817"/>
      <w:bookmarkStart w:id="171" w:name="_Toc441672105"/>
      <w:bookmarkStart w:id="172" w:name="_Toc442168892"/>
      <w:r w:rsidRPr="00EC6C51">
        <w:lastRenderedPageBreak/>
        <w:t>Committees</w:t>
      </w:r>
      <w:bookmarkEnd w:id="156"/>
      <w:bookmarkEnd w:id="157"/>
      <w:bookmarkEnd w:id="158"/>
      <w:bookmarkEnd w:id="159"/>
      <w:bookmarkEnd w:id="160"/>
      <w:bookmarkEnd w:id="161"/>
    </w:p>
    <w:p w14:paraId="32A89DDE" w14:textId="67425FD8" w:rsidR="00633B9E" w:rsidRPr="00EC6C51" w:rsidRDefault="00633B9E" w:rsidP="00577601">
      <w:pPr>
        <w:ind w:left="-142"/>
        <w:rPr>
          <w:rFonts w:eastAsia="Cambria"/>
        </w:rPr>
      </w:pPr>
      <w:r w:rsidRPr="00EC6C51">
        <w:rPr>
          <w:rFonts w:eastAsia="Cambria"/>
        </w:rPr>
        <w:t xml:space="preserve">The Office of the IGEM governance structure comprises the </w:t>
      </w:r>
      <w:r w:rsidR="00D566B1">
        <w:rPr>
          <w:rFonts w:eastAsia="Cambria"/>
        </w:rPr>
        <w:t>EMC</w:t>
      </w:r>
      <w:r w:rsidRPr="00EC6C51">
        <w:rPr>
          <w:rFonts w:eastAsia="Cambria"/>
        </w:rPr>
        <w:t xml:space="preserve"> and the Public Safety Portfolio Audit and Risk Committee.</w:t>
      </w:r>
    </w:p>
    <w:p w14:paraId="09BD28EA" w14:textId="77777777" w:rsidR="00633B9E" w:rsidRPr="00EC6C51" w:rsidRDefault="00633B9E" w:rsidP="00633B9E">
      <w:pPr>
        <w:rPr>
          <w:rFonts w:eastAsia="Times New Roman"/>
        </w:rPr>
      </w:pPr>
      <w:r w:rsidRPr="00EC6C51">
        <w:rPr>
          <w:rFonts w:eastAsia="Cambria"/>
          <w:noProof/>
          <w:lang w:val="en-AU" w:eastAsia="en-AU"/>
        </w:rPr>
        <w:drawing>
          <wp:inline distT="0" distB="0" distL="0" distR="0" wp14:anchorId="178A5CB4" wp14:editId="32133112">
            <wp:extent cx="4784651" cy="26674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EM Board &amp; Committee.png"/>
                    <pic:cNvPicPr/>
                  </pic:nvPicPr>
                  <pic:blipFill rotWithShape="1">
                    <a:blip r:embed="rId66">
                      <a:extLst>
                        <a:ext uri="{28A0092B-C50C-407E-A947-70E740481C1C}">
                          <a14:useLocalDpi xmlns:a14="http://schemas.microsoft.com/office/drawing/2010/main" val="0"/>
                        </a:ext>
                      </a:extLst>
                    </a:blip>
                    <a:srcRect l="24088" t="15676" r="18030" b="61505"/>
                    <a:stretch/>
                  </pic:blipFill>
                  <pic:spPr bwMode="auto">
                    <a:xfrm>
                      <a:off x="0" y="0"/>
                      <a:ext cx="4797521" cy="267459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PlainTable210"/>
        <w:tblW w:w="10489" w:type="dxa"/>
        <w:tblInd w:w="-284" w:type="dxa"/>
        <w:tblLook w:val="04A0" w:firstRow="1" w:lastRow="0" w:firstColumn="1" w:lastColumn="0" w:noHBand="0" w:noVBand="1"/>
      </w:tblPr>
      <w:tblGrid>
        <w:gridCol w:w="10489"/>
      </w:tblGrid>
      <w:tr w:rsidR="00633B9E" w:rsidRPr="00EC6C51" w14:paraId="37FCB2F1" w14:textId="77777777" w:rsidTr="00276CE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489" w:type="dxa"/>
            <w:tcBorders>
              <w:top w:val="nil"/>
              <w:bottom w:val="nil"/>
            </w:tcBorders>
            <w:shd w:val="clear" w:color="auto" w:fill="AB054B"/>
          </w:tcPr>
          <w:p w14:paraId="38D755A0" w14:textId="77777777" w:rsidR="00633B9E" w:rsidRPr="00EC6C51" w:rsidRDefault="00633B9E" w:rsidP="002821D9">
            <w:pPr>
              <w:spacing w:after="120"/>
              <w:rPr>
                <w:rFonts w:eastAsia="Cambria"/>
                <w:color w:val="FFFFFF"/>
                <w:sz w:val="24"/>
                <w:szCs w:val="24"/>
              </w:rPr>
            </w:pPr>
            <w:r w:rsidRPr="00EC6C51">
              <w:rPr>
                <w:rFonts w:eastAsia="Cambria"/>
                <w:color w:val="FFFFFF"/>
                <w:sz w:val="24"/>
                <w:szCs w:val="24"/>
              </w:rPr>
              <w:t>Executive Management Committee</w:t>
            </w:r>
          </w:p>
        </w:tc>
      </w:tr>
      <w:tr w:rsidR="00633B9E" w:rsidRPr="00633B9E" w14:paraId="11E27622" w14:textId="77777777" w:rsidTr="00276CE5">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489" w:type="dxa"/>
            <w:tcBorders>
              <w:top w:val="nil"/>
              <w:bottom w:val="single" w:sz="4" w:space="0" w:color="AB054B"/>
            </w:tcBorders>
            <w:shd w:val="clear" w:color="auto" w:fill="auto"/>
          </w:tcPr>
          <w:p w14:paraId="74699CE4" w14:textId="5DED919E" w:rsidR="00633B9E" w:rsidRPr="00633B9E" w:rsidRDefault="00633B9E" w:rsidP="002821D9">
            <w:pPr>
              <w:spacing w:after="120"/>
              <w:rPr>
                <w:rFonts w:eastAsia="Cambria"/>
                <w:b w:val="0"/>
              </w:rPr>
            </w:pPr>
            <w:r w:rsidRPr="00633B9E">
              <w:rPr>
                <w:rFonts w:eastAsia="Cambria"/>
                <w:b w:val="0"/>
              </w:rPr>
              <w:t xml:space="preserve">The </w:t>
            </w:r>
            <w:r w:rsidR="00D566B1">
              <w:rPr>
                <w:rFonts w:eastAsia="Cambria"/>
                <w:b w:val="0"/>
              </w:rPr>
              <w:t>EMC</w:t>
            </w:r>
            <w:r w:rsidRPr="00633B9E">
              <w:rPr>
                <w:rFonts w:eastAsia="Cambria"/>
                <w:b w:val="0"/>
              </w:rPr>
              <w:t xml:space="preserve"> is the key leadership group for the Office of the IGEM. The committee provides leadership and direction on strategic and ope</w:t>
            </w:r>
            <w:r w:rsidR="00B4291C">
              <w:rPr>
                <w:rFonts w:eastAsia="Cambria"/>
                <w:b w:val="0"/>
              </w:rPr>
              <w:t>rational issues and supports</w:t>
            </w:r>
            <w:r w:rsidRPr="00633B9E">
              <w:rPr>
                <w:rFonts w:eastAsia="Cambria"/>
                <w:b w:val="0"/>
              </w:rPr>
              <w:t xml:space="preserve"> </w:t>
            </w:r>
            <w:r w:rsidR="00A811F5">
              <w:rPr>
                <w:rFonts w:eastAsia="Cambria"/>
                <w:b w:val="0"/>
              </w:rPr>
              <w:t xml:space="preserve">the </w:t>
            </w:r>
            <w:r w:rsidR="00D566B1">
              <w:rPr>
                <w:rFonts w:eastAsia="Cambria"/>
                <w:b w:val="0"/>
              </w:rPr>
              <w:t>Inspector-General Emergency Management</w:t>
            </w:r>
            <w:r w:rsidRPr="00633B9E">
              <w:rPr>
                <w:rFonts w:eastAsia="Cambria"/>
                <w:b w:val="0"/>
              </w:rPr>
              <w:t xml:space="preserve"> as the accountable officer under section 61 of the </w:t>
            </w:r>
            <w:r w:rsidRPr="00633B9E">
              <w:rPr>
                <w:rFonts w:eastAsia="Cambria"/>
                <w:b w:val="0"/>
                <w:i/>
              </w:rPr>
              <w:t>Financial Accountability Act 2009</w:t>
            </w:r>
            <w:r w:rsidRPr="00633B9E">
              <w:rPr>
                <w:rFonts w:eastAsia="Cambria"/>
                <w:b w:val="0"/>
              </w:rPr>
              <w:t>, to achieve efficient, effective and financially responsible management for the Office of the IGEM.</w:t>
            </w:r>
          </w:p>
          <w:p w14:paraId="12B4D2C3" w14:textId="77777777" w:rsidR="00633B9E" w:rsidRPr="00633B9E" w:rsidRDefault="00633B9E" w:rsidP="002821D9">
            <w:pPr>
              <w:spacing w:after="120"/>
              <w:rPr>
                <w:rFonts w:eastAsia="Cambria"/>
                <w:b w:val="0"/>
              </w:rPr>
            </w:pPr>
            <w:r w:rsidRPr="00633B9E">
              <w:rPr>
                <w:rFonts w:eastAsia="Cambria"/>
                <w:b w:val="0"/>
              </w:rPr>
              <w:t>The committee meets monthly unless otherwise determined by committee members. Extraordinary meetings may be called at the discretion of the Chair.</w:t>
            </w:r>
          </w:p>
          <w:p w14:paraId="3E06471A" w14:textId="77777777" w:rsidR="00633B9E" w:rsidRPr="00633B9E" w:rsidRDefault="00633B9E" w:rsidP="002821D9">
            <w:pPr>
              <w:spacing w:after="120"/>
              <w:rPr>
                <w:rFonts w:eastAsia="Cambria"/>
              </w:rPr>
            </w:pPr>
            <w:r w:rsidRPr="00633B9E">
              <w:rPr>
                <w:rFonts w:eastAsia="Cambria"/>
                <w:b w:val="0"/>
              </w:rPr>
              <w:t>During 2016-17, the committee met on 10 occasions.</w:t>
            </w:r>
            <w:r w:rsidRPr="00633B9E">
              <w:rPr>
                <w:rFonts w:eastAsia="Cambria"/>
              </w:rPr>
              <w:t xml:space="preserve"> </w:t>
            </w:r>
          </w:p>
        </w:tc>
      </w:tr>
      <w:tr w:rsidR="00633B9E" w:rsidRPr="00633B9E" w14:paraId="30395815" w14:textId="77777777" w:rsidTr="00276CE5">
        <w:trPr>
          <w:trHeight w:val="283"/>
        </w:trPr>
        <w:tc>
          <w:tcPr>
            <w:cnfStyle w:val="001000000000" w:firstRow="0" w:lastRow="0" w:firstColumn="1" w:lastColumn="0" w:oddVBand="0" w:evenVBand="0" w:oddHBand="0" w:evenHBand="0" w:firstRowFirstColumn="0" w:firstRowLastColumn="0" w:lastRowFirstColumn="0" w:lastRowLastColumn="0"/>
            <w:tcW w:w="10489" w:type="dxa"/>
            <w:tcBorders>
              <w:top w:val="single" w:sz="4" w:space="0" w:color="AB054B"/>
              <w:bottom w:val="single" w:sz="4" w:space="0" w:color="AB054B"/>
            </w:tcBorders>
            <w:shd w:val="clear" w:color="auto" w:fill="auto"/>
          </w:tcPr>
          <w:p w14:paraId="37DAA6FB" w14:textId="77777777" w:rsidR="00633B9E" w:rsidRPr="00633B9E" w:rsidRDefault="00633B9E" w:rsidP="002821D9">
            <w:pPr>
              <w:widowControl w:val="0"/>
              <w:tabs>
                <w:tab w:val="left" w:pos="464"/>
              </w:tabs>
              <w:spacing w:after="120"/>
              <w:ind w:left="103" w:hanging="103"/>
              <w:rPr>
                <w:rFonts w:eastAsia="Calibri"/>
                <w:b w:val="0"/>
              </w:rPr>
            </w:pPr>
            <w:r w:rsidRPr="00633B9E">
              <w:rPr>
                <w:rFonts w:eastAsia="Calibri"/>
              </w:rPr>
              <w:t xml:space="preserve">Committee members </w:t>
            </w:r>
          </w:p>
          <w:p w14:paraId="5A44C09A" w14:textId="77777777" w:rsidR="00633B9E" w:rsidRPr="00633B9E" w:rsidRDefault="00633B9E" w:rsidP="00633B9E">
            <w:pPr>
              <w:widowControl w:val="0"/>
              <w:numPr>
                <w:ilvl w:val="0"/>
                <w:numId w:val="19"/>
              </w:numPr>
              <w:spacing w:before="60" w:after="60" w:line="251" w:lineRule="exact"/>
              <w:ind w:left="473" w:hanging="360"/>
              <w:rPr>
                <w:rFonts w:eastAsia="Cambria"/>
                <w:b w:val="0"/>
              </w:rPr>
            </w:pPr>
            <w:r w:rsidRPr="00633B9E">
              <w:rPr>
                <w:rFonts w:eastAsia="Cambria"/>
                <w:b w:val="0"/>
              </w:rPr>
              <w:t>Iain MacKenzie AFSM, Inspector-General Emergency Management (Chair)</w:t>
            </w:r>
          </w:p>
          <w:p w14:paraId="1A9DB07C" w14:textId="77777777" w:rsidR="00633B9E" w:rsidRPr="00633B9E" w:rsidRDefault="00633B9E" w:rsidP="00633B9E">
            <w:pPr>
              <w:widowControl w:val="0"/>
              <w:numPr>
                <w:ilvl w:val="0"/>
                <w:numId w:val="19"/>
              </w:numPr>
              <w:spacing w:before="60" w:after="60" w:line="251" w:lineRule="exact"/>
              <w:ind w:left="473" w:hanging="360"/>
              <w:rPr>
                <w:rFonts w:eastAsia="Cambria"/>
                <w:b w:val="0"/>
              </w:rPr>
            </w:pPr>
            <w:r w:rsidRPr="00633B9E">
              <w:rPr>
                <w:rFonts w:eastAsia="Cambria"/>
                <w:b w:val="0"/>
              </w:rPr>
              <w:t xml:space="preserve">Mike Shapland MBE, Director, Interoperability and Innovation </w:t>
            </w:r>
          </w:p>
          <w:p w14:paraId="2E884509" w14:textId="77777777" w:rsidR="00633B9E" w:rsidRPr="00633B9E" w:rsidRDefault="00633B9E" w:rsidP="00633B9E">
            <w:pPr>
              <w:widowControl w:val="0"/>
              <w:numPr>
                <w:ilvl w:val="0"/>
                <w:numId w:val="19"/>
              </w:numPr>
              <w:spacing w:before="60" w:after="60" w:line="251" w:lineRule="exact"/>
              <w:ind w:left="473" w:hanging="360"/>
              <w:rPr>
                <w:rFonts w:eastAsia="Cambria"/>
                <w:b w:val="0"/>
              </w:rPr>
            </w:pPr>
            <w:r w:rsidRPr="00633B9E">
              <w:rPr>
                <w:rFonts w:eastAsia="Cambria"/>
                <w:b w:val="0"/>
              </w:rPr>
              <w:t>Sarah March, Director, Performance, Reporting and Policy Analysis</w:t>
            </w:r>
          </w:p>
          <w:p w14:paraId="3CCD48C1" w14:textId="77777777" w:rsidR="00633B9E" w:rsidRPr="00633B9E" w:rsidRDefault="00633B9E" w:rsidP="00633B9E">
            <w:pPr>
              <w:widowControl w:val="0"/>
              <w:numPr>
                <w:ilvl w:val="0"/>
                <w:numId w:val="19"/>
              </w:numPr>
              <w:spacing w:before="60" w:after="60" w:line="251" w:lineRule="exact"/>
              <w:ind w:left="473" w:hanging="360"/>
              <w:rPr>
                <w:rFonts w:eastAsia="Cambria"/>
                <w:b w:val="0"/>
              </w:rPr>
            </w:pPr>
            <w:r w:rsidRPr="00633B9E">
              <w:rPr>
                <w:rFonts w:eastAsia="Cambria"/>
                <w:b w:val="0"/>
              </w:rPr>
              <w:t xml:space="preserve">Rowena Richardson, Director, Standards, Best Practice and Evaluation </w:t>
            </w:r>
          </w:p>
          <w:p w14:paraId="2A6CEFD4" w14:textId="77777777" w:rsidR="00633B9E" w:rsidRPr="00633B9E" w:rsidRDefault="00633B9E" w:rsidP="00633B9E">
            <w:pPr>
              <w:widowControl w:val="0"/>
              <w:numPr>
                <w:ilvl w:val="0"/>
                <w:numId w:val="19"/>
              </w:numPr>
              <w:spacing w:before="60" w:after="60" w:line="251" w:lineRule="exact"/>
              <w:ind w:left="473" w:hanging="360"/>
              <w:rPr>
                <w:rFonts w:eastAsia="Cambria"/>
              </w:rPr>
            </w:pPr>
            <w:r w:rsidRPr="00633B9E">
              <w:rPr>
                <w:rFonts w:eastAsia="Cambria"/>
                <w:b w:val="0"/>
              </w:rPr>
              <w:t>Phil Nickerson, Director, Community and Stakeholder Engagement</w:t>
            </w:r>
          </w:p>
        </w:tc>
      </w:tr>
      <w:tr w:rsidR="00B4291C" w:rsidRPr="00633B9E" w14:paraId="2F8B65E6" w14:textId="77777777" w:rsidTr="00276CE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489" w:type="dxa"/>
            <w:tcBorders>
              <w:top w:val="single" w:sz="4" w:space="0" w:color="AB054B"/>
              <w:bottom w:val="single" w:sz="4" w:space="0" w:color="AB054B"/>
            </w:tcBorders>
            <w:shd w:val="clear" w:color="auto" w:fill="auto"/>
          </w:tcPr>
          <w:p w14:paraId="707E39E0" w14:textId="77777777" w:rsidR="00B4291C" w:rsidRPr="00633B9E" w:rsidRDefault="00B4291C" w:rsidP="00B4291C">
            <w:pPr>
              <w:widowControl w:val="0"/>
              <w:spacing w:after="120"/>
              <w:rPr>
                <w:rFonts w:eastAsia="Calibri"/>
              </w:rPr>
            </w:pPr>
            <w:r w:rsidRPr="00633B9E">
              <w:rPr>
                <w:rFonts w:eastAsia="Calibri"/>
              </w:rPr>
              <w:t xml:space="preserve">Achievements </w:t>
            </w:r>
          </w:p>
          <w:p w14:paraId="357F4C46" w14:textId="77777777" w:rsidR="00B4291C" w:rsidRPr="00633B9E" w:rsidRDefault="00B4291C" w:rsidP="00B4291C">
            <w:pPr>
              <w:widowControl w:val="0"/>
              <w:spacing w:after="120"/>
              <w:rPr>
                <w:rFonts w:eastAsia="Arial"/>
                <w:b w:val="0"/>
              </w:rPr>
            </w:pPr>
            <w:r w:rsidRPr="00633B9E">
              <w:rPr>
                <w:rFonts w:eastAsia="Calibri"/>
                <w:b w:val="0"/>
              </w:rPr>
              <w:t>In 2016-17, the Executive Management Committee:</w:t>
            </w:r>
          </w:p>
          <w:p w14:paraId="6F9DE3AE" w14:textId="77777777" w:rsidR="00B4291C" w:rsidRPr="00633B9E" w:rsidRDefault="00B4291C" w:rsidP="00B4291C">
            <w:pPr>
              <w:widowControl w:val="0"/>
              <w:numPr>
                <w:ilvl w:val="0"/>
                <w:numId w:val="19"/>
              </w:numPr>
              <w:spacing w:before="60" w:after="60" w:line="251" w:lineRule="exact"/>
              <w:ind w:left="473" w:hanging="360"/>
              <w:rPr>
                <w:rFonts w:eastAsia="Cambria"/>
                <w:b w:val="0"/>
              </w:rPr>
            </w:pPr>
            <w:r w:rsidRPr="00633B9E">
              <w:rPr>
                <w:rFonts w:eastAsia="Cambria"/>
                <w:b w:val="0"/>
              </w:rPr>
              <w:t xml:space="preserve">provided strategic oversight for all </w:t>
            </w:r>
            <w:r>
              <w:rPr>
                <w:rFonts w:eastAsia="Cambria"/>
                <w:b w:val="0"/>
              </w:rPr>
              <w:t xml:space="preserve">the Office of the </w:t>
            </w:r>
            <w:r w:rsidRPr="00633B9E">
              <w:rPr>
                <w:rFonts w:eastAsia="Cambria"/>
                <w:b w:val="0"/>
              </w:rPr>
              <w:t xml:space="preserve">IGEM reviews, assurance activities and major projects  </w:t>
            </w:r>
          </w:p>
          <w:p w14:paraId="359023D9" w14:textId="77777777" w:rsidR="00B4291C" w:rsidRDefault="00B4291C" w:rsidP="00B4291C">
            <w:pPr>
              <w:widowControl w:val="0"/>
              <w:numPr>
                <w:ilvl w:val="0"/>
                <w:numId w:val="19"/>
              </w:numPr>
              <w:spacing w:before="60" w:after="60" w:line="251" w:lineRule="exact"/>
              <w:ind w:left="473" w:hanging="360"/>
              <w:rPr>
                <w:rFonts w:eastAsia="Cambria"/>
                <w:b w:val="0"/>
              </w:rPr>
            </w:pPr>
            <w:r w:rsidRPr="00633B9E">
              <w:rPr>
                <w:rFonts w:eastAsia="Cambria"/>
                <w:b w:val="0"/>
              </w:rPr>
              <w:t xml:space="preserve">endorsed the Office of the IGEM Strategic Plan 2017-2021 </w:t>
            </w:r>
          </w:p>
          <w:p w14:paraId="35E86585" w14:textId="75BC0E1A" w:rsidR="00B4291C" w:rsidRPr="00B4291C" w:rsidRDefault="00B4291C" w:rsidP="00B4291C">
            <w:pPr>
              <w:widowControl w:val="0"/>
              <w:numPr>
                <w:ilvl w:val="0"/>
                <w:numId w:val="19"/>
              </w:numPr>
              <w:spacing w:before="60" w:after="60" w:line="251" w:lineRule="exact"/>
              <w:ind w:left="473" w:hanging="360"/>
              <w:rPr>
                <w:rFonts w:eastAsia="Cambria"/>
                <w:b w:val="0"/>
              </w:rPr>
            </w:pPr>
            <w:r w:rsidRPr="00B4291C">
              <w:rPr>
                <w:rFonts w:eastAsia="Cambria"/>
                <w:b w:val="0"/>
              </w:rPr>
              <w:t>endorsed the Office of the IGEM Operational Plan 2017-2018.</w:t>
            </w:r>
          </w:p>
        </w:tc>
      </w:tr>
    </w:tbl>
    <w:p w14:paraId="22F4DCB8" w14:textId="77777777" w:rsidR="00633B9E" w:rsidRPr="00633B9E" w:rsidRDefault="00633B9E" w:rsidP="00633B9E">
      <w:pPr>
        <w:rPr>
          <w:rFonts w:eastAsia="Cambria"/>
        </w:rPr>
      </w:pPr>
    </w:p>
    <w:p w14:paraId="7A0A2E6D" w14:textId="77777777" w:rsidR="00633B9E" w:rsidRDefault="00633B9E">
      <w:r>
        <w:rPr>
          <w:b/>
          <w:bCs/>
        </w:rPr>
        <w:br w:type="page"/>
      </w:r>
    </w:p>
    <w:tbl>
      <w:tblPr>
        <w:tblStyle w:val="PlainTable210"/>
        <w:tblW w:w="10347" w:type="dxa"/>
        <w:tblInd w:w="-142" w:type="dxa"/>
        <w:tblLook w:val="04A0" w:firstRow="1" w:lastRow="0" w:firstColumn="1" w:lastColumn="0" w:noHBand="0" w:noVBand="1"/>
      </w:tblPr>
      <w:tblGrid>
        <w:gridCol w:w="10347"/>
      </w:tblGrid>
      <w:tr w:rsidR="00633B9E" w:rsidRPr="00EC6C51" w14:paraId="130146E9" w14:textId="77777777" w:rsidTr="00276CE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7" w:type="dxa"/>
            <w:tcBorders>
              <w:top w:val="nil"/>
              <w:bottom w:val="nil"/>
            </w:tcBorders>
            <w:shd w:val="clear" w:color="auto" w:fill="AB054B"/>
          </w:tcPr>
          <w:p w14:paraId="4B944AAA" w14:textId="7B88B462" w:rsidR="00633B9E" w:rsidRPr="00EC6C51" w:rsidRDefault="00276CE5" w:rsidP="00276CE5">
            <w:pPr>
              <w:spacing w:after="120"/>
              <w:ind w:left="-250" w:firstLine="142"/>
              <w:rPr>
                <w:rFonts w:eastAsia="Cambria"/>
                <w:color w:val="FFFFFF"/>
                <w:sz w:val="24"/>
                <w:szCs w:val="24"/>
              </w:rPr>
            </w:pPr>
            <w:r>
              <w:rPr>
                <w:rFonts w:eastAsia="Cambria"/>
                <w:color w:val="FFFFFF"/>
                <w:sz w:val="24"/>
                <w:szCs w:val="24"/>
              </w:rPr>
              <w:lastRenderedPageBreak/>
              <w:t xml:space="preserve"> </w:t>
            </w:r>
            <w:r w:rsidR="00633B9E">
              <w:rPr>
                <w:rFonts w:eastAsia="Cambria"/>
                <w:color w:val="FFFFFF"/>
                <w:sz w:val="24"/>
                <w:szCs w:val="24"/>
              </w:rPr>
              <w:t>Public Safety Portfolio Audit and Risk Committee</w:t>
            </w:r>
          </w:p>
        </w:tc>
      </w:tr>
    </w:tbl>
    <w:p w14:paraId="330A0261" w14:textId="37D82974" w:rsidR="00633B9E" w:rsidRPr="00EC6C51" w:rsidRDefault="00633B9E" w:rsidP="00276CE5">
      <w:pPr>
        <w:ind w:left="-142"/>
        <w:rPr>
          <w:rFonts w:eastAsia="Cambria"/>
        </w:rPr>
      </w:pPr>
      <w:r w:rsidRPr="00EC6C51">
        <w:rPr>
          <w:rFonts w:eastAsia="Cambria"/>
        </w:rPr>
        <w:t>T</w:t>
      </w:r>
      <w:r w:rsidRPr="00EC6C51">
        <w:rPr>
          <w:rFonts w:eastAsia="Times New Roman"/>
        </w:rPr>
        <w:t xml:space="preserve">he Public Safety Portfolio Audit and Risk Committee </w:t>
      </w:r>
      <w:r>
        <w:rPr>
          <w:rFonts w:eastAsia="Times New Roman"/>
        </w:rPr>
        <w:t>governs audit matters for the public safety portfolio agencies.</w:t>
      </w:r>
      <w:r w:rsidRPr="00EC6C51">
        <w:rPr>
          <w:rFonts w:eastAsia="Times New Roman"/>
        </w:rPr>
        <w:t xml:space="preserve"> </w:t>
      </w:r>
      <w:r w:rsidRPr="00EC6C51">
        <w:rPr>
          <w:rFonts w:eastAsia="Cambria"/>
        </w:rPr>
        <w:t xml:space="preserve">For further information about the Public Safety Portfolio Audit and Risk Committee </w:t>
      </w:r>
      <w:r w:rsidRPr="00662315">
        <w:rPr>
          <w:rFonts w:eastAsia="Cambria"/>
        </w:rPr>
        <w:t xml:space="preserve">refer </w:t>
      </w:r>
      <w:r w:rsidR="0007252F">
        <w:rPr>
          <w:rFonts w:eastAsia="Cambria"/>
        </w:rPr>
        <w:t xml:space="preserve">to </w:t>
      </w:r>
      <w:r w:rsidRPr="00662315">
        <w:rPr>
          <w:rFonts w:eastAsia="Cambria"/>
        </w:rPr>
        <w:t>pages</w:t>
      </w:r>
      <w:r w:rsidR="00D47F14" w:rsidRPr="00662315">
        <w:rPr>
          <w:rFonts w:eastAsia="Cambria"/>
        </w:rPr>
        <w:t xml:space="preserve"> 9-10</w:t>
      </w:r>
      <w:r w:rsidRPr="002821D9">
        <w:rPr>
          <w:rFonts w:eastAsia="Cambria"/>
        </w:rPr>
        <w:t>.</w:t>
      </w:r>
    </w:p>
    <w:p w14:paraId="41B0133F" w14:textId="77777777" w:rsidR="00633B9E" w:rsidRDefault="00633B9E">
      <w:pPr>
        <w:rPr>
          <w:rFonts w:ascii="Arial Bold" w:eastAsia="Times New Roman" w:hAnsi="Arial Bold"/>
          <w:b/>
          <w:i/>
          <w:color w:val="AB054C"/>
          <w:sz w:val="36"/>
          <w14:ligatures w14:val="standardContextual"/>
        </w:rPr>
      </w:pPr>
      <w:r>
        <w:br w:type="page"/>
      </w:r>
    </w:p>
    <w:p w14:paraId="0F838A40" w14:textId="5F725EEA" w:rsidR="006E1C5C" w:rsidRPr="002109B9" w:rsidRDefault="006E1C5C" w:rsidP="007703EB">
      <w:pPr>
        <w:pStyle w:val="Heading2"/>
      </w:pPr>
      <w:bookmarkStart w:id="173" w:name="_Toc492622959"/>
      <w:r w:rsidRPr="002109B9">
        <w:lastRenderedPageBreak/>
        <w:t>Ethics and code of conduct</w:t>
      </w:r>
      <w:bookmarkEnd w:id="162"/>
      <w:bookmarkEnd w:id="163"/>
      <w:bookmarkEnd w:id="164"/>
      <w:bookmarkEnd w:id="165"/>
      <w:bookmarkEnd w:id="166"/>
      <w:bookmarkEnd w:id="167"/>
      <w:bookmarkEnd w:id="173"/>
    </w:p>
    <w:p w14:paraId="2C1DC8C8" w14:textId="77777777" w:rsidR="0025045B" w:rsidRPr="00F25321" w:rsidRDefault="0025045B" w:rsidP="00913AA5">
      <w:pPr>
        <w:keepNext/>
        <w:keepLines/>
        <w:spacing w:before="240"/>
        <w:ind w:left="-142"/>
        <w:outlineLvl w:val="2"/>
        <w:rPr>
          <w:rFonts w:ascii="Arial Bold" w:eastAsia="Calibri" w:hAnsi="Arial Bold"/>
          <w:bCs/>
          <w:sz w:val="28"/>
          <w:szCs w:val="28"/>
          <w14:ligatures w14:val="standardContextual"/>
        </w:rPr>
      </w:pPr>
      <w:r w:rsidRPr="00F25321">
        <w:rPr>
          <w:rFonts w:ascii="Arial Bold" w:eastAsia="Calibri" w:hAnsi="Arial Bold"/>
          <w:bCs/>
          <w:sz w:val="28"/>
          <w:szCs w:val="28"/>
          <w14:ligatures w14:val="standardContextual"/>
        </w:rPr>
        <w:t>Ethical standards</w:t>
      </w:r>
    </w:p>
    <w:p w14:paraId="0DAC593B" w14:textId="361A7E65" w:rsidR="0025045B" w:rsidRPr="002E1D40" w:rsidRDefault="0025045B" w:rsidP="00276CE5">
      <w:pPr>
        <w:ind w:left="-142"/>
        <w:rPr>
          <w:rFonts w:eastAsia="Cambria"/>
        </w:rPr>
      </w:pPr>
      <w:r>
        <w:rPr>
          <w:rFonts w:eastAsia="Cambria"/>
        </w:rPr>
        <w:t xml:space="preserve">Human Resources Division’s Employee Relations Unit </w:t>
      </w:r>
      <w:r w:rsidR="001F7658">
        <w:rPr>
          <w:rFonts w:eastAsia="Cambria"/>
        </w:rPr>
        <w:t xml:space="preserve">in PSBA </w:t>
      </w:r>
      <w:r w:rsidRPr="002E1D40">
        <w:rPr>
          <w:rFonts w:eastAsia="Cambria"/>
        </w:rPr>
        <w:t>assess</w:t>
      </w:r>
      <w:r>
        <w:rPr>
          <w:rFonts w:eastAsia="Cambria"/>
        </w:rPr>
        <w:t>es</w:t>
      </w:r>
      <w:r w:rsidRPr="002E1D40">
        <w:rPr>
          <w:rFonts w:eastAsia="Cambria"/>
        </w:rPr>
        <w:t xml:space="preserve"> complaints regarding</w:t>
      </w:r>
      <w:r w:rsidRPr="002E1D40">
        <w:rPr>
          <w:rFonts w:eastAsia="Cambria"/>
          <w:spacing w:val="-22"/>
        </w:rPr>
        <w:t xml:space="preserve"> </w:t>
      </w:r>
      <w:r w:rsidRPr="002E1D40">
        <w:rPr>
          <w:rFonts w:eastAsia="Cambria"/>
        </w:rPr>
        <w:t>the</w:t>
      </w:r>
      <w:r w:rsidRPr="002E1D40">
        <w:rPr>
          <w:rFonts w:eastAsia="Cambria"/>
          <w:spacing w:val="-1"/>
        </w:rPr>
        <w:t xml:space="preserve"> </w:t>
      </w:r>
      <w:r w:rsidRPr="002E1D40">
        <w:rPr>
          <w:rFonts w:eastAsia="Cambria"/>
        </w:rPr>
        <w:t>conduct of staff</w:t>
      </w:r>
      <w:r>
        <w:rPr>
          <w:rFonts w:eastAsia="Cambria"/>
        </w:rPr>
        <w:t xml:space="preserve"> </w:t>
      </w:r>
      <w:r w:rsidR="00D313A8">
        <w:rPr>
          <w:rFonts w:eastAsia="Cambria"/>
        </w:rPr>
        <w:t xml:space="preserve">and contractors </w:t>
      </w:r>
      <w:r>
        <w:rPr>
          <w:rFonts w:eastAsia="Cambria"/>
        </w:rPr>
        <w:t xml:space="preserve">in the </w:t>
      </w:r>
      <w:r w:rsidR="00B065B4">
        <w:rPr>
          <w:rFonts w:eastAsia="Cambria"/>
        </w:rPr>
        <w:t>Office of the IGEM</w:t>
      </w:r>
      <w:r w:rsidR="001F7658">
        <w:rPr>
          <w:rFonts w:eastAsia="Cambria"/>
        </w:rPr>
        <w:t xml:space="preserve">. </w:t>
      </w:r>
      <w:r w:rsidRPr="002E1D40">
        <w:rPr>
          <w:rFonts w:eastAsia="Cambria"/>
        </w:rPr>
        <w:t xml:space="preserve">The unit assesses complaints in accordance with the </w:t>
      </w:r>
      <w:r w:rsidRPr="002E1D40">
        <w:rPr>
          <w:rFonts w:eastAsia="Cambria"/>
          <w:i/>
        </w:rPr>
        <w:t>Management of Complaints</w:t>
      </w:r>
      <w:r w:rsidRPr="002E1D40">
        <w:rPr>
          <w:rFonts w:eastAsia="Cambria"/>
          <w:i/>
          <w:spacing w:val="-11"/>
        </w:rPr>
        <w:t xml:space="preserve"> a</w:t>
      </w:r>
      <w:r w:rsidRPr="002E1D40">
        <w:rPr>
          <w:rFonts w:eastAsia="Cambria"/>
          <w:i/>
        </w:rPr>
        <w:t xml:space="preserve">bout Employees, Volunteers and Contractors Policy </w:t>
      </w:r>
      <w:r w:rsidRPr="002E1D40">
        <w:rPr>
          <w:rFonts w:eastAsia="Cambria"/>
        </w:rPr>
        <w:t xml:space="preserve">and </w:t>
      </w:r>
      <w:r w:rsidRPr="002E1D40">
        <w:rPr>
          <w:rFonts w:eastAsia="Cambria"/>
          <w:i/>
        </w:rPr>
        <w:t>Procedure</w:t>
      </w:r>
      <w:r w:rsidRPr="002E1D40">
        <w:rPr>
          <w:rFonts w:eastAsia="Cambria"/>
        </w:rPr>
        <w:t>. As outlined in the procedure,</w:t>
      </w:r>
      <w:r w:rsidRPr="002E1D40">
        <w:rPr>
          <w:rFonts w:eastAsia="Cambria"/>
          <w:spacing w:val="-33"/>
        </w:rPr>
        <w:t xml:space="preserve"> </w:t>
      </w:r>
      <w:r w:rsidRPr="002E1D40">
        <w:rPr>
          <w:rFonts w:eastAsia="Cambria"/>
        </w:rPr>
        <w:t>certain categories of complaints will be formally investigated by the</w:t>
      </w:r>
      <w:r>
        <w:rPr>
          <w:rFonts w:eastAsia="Cambria"/>
        </w:rPr>
        <w:t xml:space="preserve"> Employee Relations Unit</w:t>
      </w:r>
      <w:r w:rsidRPr="002E1D40">
        <w:rPr>
          <w:rFonts w:eastAsia="Cambria"/>
        </w:rPr>
        <w:t xml:space="preserve">, whilst others </w:t>
      </w:r>
      <w:r w:rsidR="004F1193">
        <w:rPr>
          <w:rFonts w:eastAsia="Cambria"/>
        </w:rPr>
        <w:t xml:space="preserve">may </w:t>
      </w:r>
      <w:r w:rsidRPr="002E1D40">
        <w:rPr>
          <w:rFonts w:eastAsia="Cambria"/>
        </w:rPr>
        <w:t>be referred</w:t>
      </w:r>
      <w:r w:rsidRPr="002E1D40">
        <w:rPr>
          <w:rFonts w:eastAsia="Cambria"/>
          <w:spacing w:val="-35"/>
        </w:rPr>
        <w:t xml:space="preserve"> </w:t>
      </w:r>
      <w:r>
        <w:rPr>
          <w:rFonts w:eastAsia="Cambria"/>
          <w:spacing w:val="-35"/>
        </w:rPr>
        <w:t xml:space="preserve"> </w:t>
      </w:r>
      <w:r w:rsidRPr="002E1D40">
        <w:rPr>
          <w:rFonts w:eastAsia="Cambria"/>
        </w:rPr>
        <w:t xml:space="preserve">back to management to </w:t>
      </w:r>
      <w:r w:rsidR="004F1193">
        <w:rPr>
          <w:rFonts w:eastAsia="Cambria"/>
        </w:rPr>
        <w:t>address.</w:t>
      </w:r>
    </w:p>
    <w:p w14:paraId="27E7E53B" w14:textId="77777777" w:rsidR="0025045B" w:rsidRPr="002E1D40" w:rsidRDefault="0025045B" w:rsidP="00276CE5">
      <w:pPr>
        <w:ind w:left="-142"/>
        <w:rPr>
          <w:rFonts w:eastAsia="Arial"/>
        </w:rPr>
      </w:pPr>
      <w:r w:rsidRPr="002E1D40">
        <w:rPr>
          <w:rFonts w:eastAsia="Arial"/>
        </w:rPr>
        <w:t>In addition, the unit has the following key roles and</w:t>
      </w:r>
      <w:r w:rsidRPr="002E1D40">
        <w:rPr>
          <w:rFonts w:eastAsia="Arial"/>
          <w:spacing w:val="-23"/>
        </w:rPr>
        <w:t xml:space="preserve"> </w:t>
      </w:r>
      <w:r w:rsidRPr="002E1D40">
        <w:rPr>
          <w:rFonts w:eastAsia="Arial"/>
        </w:rPr>
        <w:t>responsibilities:</w:t>
      </w:r>
    </w:p>
    <w:p w14:paraId="0651D623" w14:textId="732E125C" w:rsidR="0025045B" w:rsidRPr="002E1D40" w:rsidRDefault="0025045B" w:rsidP="00276CE5">
      <w:pPr>
        <w:widowControl w:val="0"/>
        <w:numPr>
          <w:ilvl w:val="0"/>
          <w:numId w:val="44"/>
        </w:numPr>
        <w:spacing w:line="251" w:lineRule="exact"/>
        <w:ind w:left="426" w:hanging="568"/>
        <w:rPr>
          <w:rFonts w:eastAsia="Arial"/>
        </w:rPr>
      </w:pPr>
      <w:r w:rsidRPr="002E1D40">
        <w:rPr>
          <w:rFonts w:eastAsia="Cambria"/>
        </w:rPr>
        <w:t>recording all complaints in the complaints management system except for</w:t>
      </w:r>
      <w:r w:rsidR="00D313A8">
        <w:rPr>
          <w:rFonts w:eastAsia="Cambria"/>
        </w:rPr>
        <w:t xml:space="preserve"> Conduct and Performance Excellence (CaPE) </w:t>
      </w:r>
      <w:r w:rsidRPr="002E1D40">
        <w:rPr>
          <w:rFonts w:eastAsia="Cambria"/>
        </w:rPr>
        <w:t>Category 1 matters (Category 1 matters involve</w:t>
      </w:r>
      <w:r w:rsidRPr="002E1D40">
        <w:rPr>
          <w:rFonts w:eastAsia="Cambria"/>
          <w:spacing w:val="-27"/>
        </w:rPr>
        <w:t xml:space="preserve"> </w:t>
      </w:r>
      <w:r w:rsidRPr="002E1D40">
        <w:rPr>
          <w:rFonts w:eastAsia="Cambria"/>
        </w:rPr>
        <w:t>inappropriate interpersonal conduct with colleagues, clients or other stakeholders, inappropriate</w:t>
      </w:r>
      <w:r w:rsidRPr="002E1D40">
        <w:rPr>
          <w:rFonts w:eastAsia="Cambria"/>
          <w:spacing w:val="-23"/>
        </w:rPr>
        <w:t xml:space="preserve"> </w:t>
      </w:r>
      <w:r w:rsidRPr="002E1D40">
        <w:rPr>
          <w:rFonts w:eastAsia="Cambria"/>
        </w:rPr>
        <w:t>behaviour</w:t>
      </w:r>
      <w:r w:rsidRPr="002E1D40">
        <w:rPr>
          <w:rFonts w:eastAsia="Cambria"/>
          <w:spacing w:val="-1"/>
        </w:rPr>
        <w:t xml:space="preserve"> </w:t>
      </w:r>
      <w:r w:rsidRPr="002E1D40">
        <w:rPr>
          <w:rFonts w:eastAsia="Cambria"/>
        </w:rPr>
        <w:t xml:space="preserve">relating to minor </w:t>
      </w:r>
      <w:r w:rsidRPr="002E1D40">
        <w:rPr>
          <w:rFonts w:eastAsia="Cambria"/>
          <w:bCs/>
        </w:rPr>
        <w:t>management</w:t>
      </w:r>
      <w:r w:rsidRPr="002E1D40">
        <w:rPr>
          <w:rFonts w:eastAsia="Cambria"/>
        </w:rPr>
        <w:t xml:space="preserve"> matters, and performance requiring</w:t>
      </w:r>
      <w:r w:rsidRPr="002E1D40">
        <w:rPr>
          <w:rFonts w:eastAsia="Cambria"/>
          <w:spacing w:val="-11"/>
        </w:rPr>
        <w:t xml:space="preserve"> </w:t>
      </w:r>
      <w:r w:rsidRPr="002E1D40">
        <w:rPr>
          <w:rFonts w:eastAsia="Cambria"/>
        </w:rPr>
        <w:t>improvement)</w:t>
      </w:r>
    </w:p>
    <w:p w14:paraId="0C90BE0E" w14:textId="330EFB9F" w:rsidR="0025045B" w:rsidRPr="002E1D40" w:rsidRDefault="0025045B" w:rsidP="00276CE5">
      <w:pPr>
        <w:widowControl w:val="0"/>
        <w:numPr>
          <w:ilvl w:val="0"/>
          <w:numId w:val="44"/>
        </w:numPr>
        <w:spacing w:line="251" w:lineRule="exact"/>
        <w:ind w:left="426" w:hanging="568"/>
        <w:rPr>
          <w:rFonts w:eastAsia="Arial"/>
        </w:rPr>
      </w:pPr>
      <w:r w:rsidRPr="002E1D40">
        <w:rPr>
          <w:rFonts w:eastAsia="Cambria"/>
        </w:rPr>
        <w:t>acting as the central liaison point for the C</w:t>
      </w:r>
      <w:r w:rsidR="00B065B4">
        <w:rPr>
          <w:rFonts w:eastAsia="Cambria"/>
        </w:rPr>
        <w:t>rime and Corruption Commission (C</w:t>
      </w:r>
      <w:r w:rsidRPr="002E1D40">
        <w:rPr>
          <w:rFonts w:eastAsia="Cambria"/>
        </w:rPr>
        <w:t>CC</w:t>
      </w:r>
      <w:r w:rsidR="00B065B4">
        <w:rPr>
          <w:rFonts w:eastAsia="Cambria"/>
        </w:rPr>
        <w:t>)</w:t>
      </w:r>
      <w:r w:rsidRPr="002E1D40">
        <w:rPr>
          <w:rFonts w:eastAsia="Cambria"/>
        </w:rPr>
        <w:t xml:space="preserve"> and the Queensland Ombudsman,</w:t>
      </w:r>
      <w:r w:rsidRPr="002E1D40">
        <w:rPr>
          <w:rFonts w:eastAsia="Cambria"/>
          <w:spacing w:val="-35"/>
        </w:rPr>
        <w:t xml:space="preserve"> </w:t>
      </w:r>
      <w:r w:rsidRPr="002E1D40">
        <w:rPr>
          <w:rFonts w:eastAsia="Cambria"/>
        </w:rPr>
        <w:t>and</w:t>
      </w:r>
      <w:r w:rsidRPr="002E1D40">
        <w:rPr>
          <w:rFonts w:eastAsia="Cambria"/>
          <w:spacing w:val="-1"/>
        </w:rPr>
        <w:t xml:space="preserve"> </w:t>
      </w:r>
      <w:r w:rsidRPr="002E1D40">
        <w:rPr>
          <w:rFonts w:eastAsia="Cambria"/>
        </w:rPr>
        <w:t>discharging the age</w:t>
      </w:r>
      <w:r w:rsidR="00D313A8">
        <w:rPr>
          <w:rFonts w:eastAsia="Cambria"/>
        </w:rPr>
        <w:t xml:space="preserve">ncy’s </w:t>
      </w:r>
      <w:r w:rsidRPr="002E1D40">
        <w:rPr>
          <w:rFonts w:eastAsia="Cambria"/>
        </w:rPr>
        <w:t xml:space="preserve">statutory obligations under the </w:t>
      </w:r>
      <w:r w:rsidRPr="002E1D40">
        <w:rPr>
          <w:rFonts w:eastAsia="Cambria"/>
          <w:i/>
        </w:rPr>
        <w:t>Crime and Corruption Act</w:t>
      </w:r>
      <w:r w:rsidRPr="002E1D40">
        <w:rPr>
          <w:rFonts w:eastAsia="Cambria"/>
          <w:i/>
          <w:spacing w:val="-17"/>
        </w:rPr>
        <w:t xml:space="preserve"> </w:t>
      </w:r>
      <w:r w:rsidRPr="002E1D40">
        <w:rPr>
          <w:rFonts w:eastAsia="Cambria"/>
          <w:i/>
        </w:rPr>
        <w:t>2001</w:t>
      </w:r>
    </w:p>
    <w:p w14:paraId="27D7E18D" w14:textId="05D75C08" w:rsidR="0025045B" w:rsidRPr="002E1D40" w:rsidRDefault="00D313A8" w:rsidP="00276CE5">
      <w:pPr>
        <w:widowControl w:val="0"/>
        <w:numPr>
          <w:ilvl w:val="0"/>
          <w:numId w:val="44"/>
        </w:numPr>
        <w:spacing w:line="251" w:lineRule="exact"/>
        <w:ind w:left="426" w:hanging="568"/>
        <w:rPr>
          <w:rFonts w:eastAsia="Arial"/>
        </w:rPr>
      </w:pPr>
      <w:r>
        <w:rPr>
          <w:rFonts w:eastAsia="Cambria"/>
        </w:rPr>
        <w:t>overseeing the</w:t>
      </w:r>
      <w:r w:rsidR="0025045B" w:rsidRPr="002E1D40">
        <w:rPr>
          <w:rFonts w:eastAsia="Cambria"/>
        </w:rPr>
        <w:t xml:space="preserve"> Public Interest Disclosure framework and assisting th</w:t>
      </w:r>
      <w:r>
        <w:rPr>
          <w:rFonts w:eastAsia="Cambria"/>
        </w:rPr>
        <w:t>e agency</w:t>
      </w:r>
      <w:r w:rsidR="0025045B" w:rsidRPr="002E1D40">
        <w:rPr>
          <w:rFonts w:eastAsia="Cambria"/>
          <w:spacing w:val="-24"/>
        </w:rPr>
        <w:t xml:space="preserve"> </w:t>
      </w:r>
      <w:r w:rsidR="0025045B" w:rsidRPr="002E1D40">
        <w:rPr>
          <w:rFonts w:eastAsia="Cambria"/>
        </w:rPr>
        <w:t xml:space="preserve">in fulfilling </w:t>
      </w:r>
      <w:r>
        <w:rPr>
          <w:rFonts w:eastAsia="Cambria"/>
        </w:rPr>
        <w:t xml:space="preserve">its </w:t>
      </w:r>
      <w:r w:rsidR="0025045B" w:rsidRPr="002E1D40">
        <w:rPr>
          <w:rFonts w:eastAsia="Cambria"/>
        </w:rPr>
        <w:t xml:space="preserve">statutory obligations under the </w:t>
      </w:r>
      <w:r w:rsidR="0025045B" w:rsidRPr="002E1D40">
        <w:rPr>
          <w:rFonts w:eastAsia="Cambria"/>
          <w:i/>
        </w:rPr>
        <w:t>Public Interest Disclosure Act</w:t>
      </w:r>
      <w:r w:rsidR="0025045B" w:rsidRPr="002E1D40">
        <w:rPr>
          <w:rFonts w:eastAsia="Cambria"/>
          <w:i/>
          <w:spacing w:val="-8"/>
        </w:rPr>
        <w:t xml:space="preserve"> </w:t>
      </w:r>
      <w:r w:rsidR="0025045B" w:rsidRPr="002E1D40">
        <w:rPr>
          <w:rFonts w:eastAsia="Cambria"/>
          <w:i/>
        </w:rPr>
        <w:t>2010</w:t>
      </w:r>
    </w:p>
    <w:p w14:paraId="1FF4961F" w14:textId="39C4FA76" w:rsidR="0025045B" w:rsidRPr="002E1D40" w:rsidRDefault="0025045B" w:rsidP="00276CE5">
      <w:pPr>
        <w:widowControl w:val="0"/>
        <w:numPr>
          <w:ilvl w:val="0"/>
          <w:numId w:val="44"/>
        </w:numPr>
        <w:spacing w:line="251" w:lineRule="exact"/>
        <w:ind w:left="426" w:hanging="568"/>
        <w:rPr>
          <w:rFonts w:eastAsia="Arial"/>
        </w:rPr>
      </w:pPr>
      <w:r w:rsidRPr="002E1D40">
        <w:rPr>
          <w:rFonts w:eastAsia="Cambria"/>
        </w:rPr>
        <w:t>coordinating requests for Internal Review lodged by persons who are dissatisfied with the way their complaints have been handled by the</w:t>
      </w:r>
      <w:r w:rsidRPr="002E1D40">
        <w:rPr>
          <w:rFonts w:eastAsia="Cambria"/>
          <w:spacing w:val="-6"/>
        </w:rPr>
        <w:t xml:space="preserve"> </w:t>
      </w:r>
      <w:r w:rsidR="00D313A8">
        <w:rPr>
          <w:rFonts w:eastAsia="Cambria"/>
        </w:rPr>
        <w:t>agency</w:t>
      </w:r>
      <w:r w:rsidRPr="002E1D40">
        <w:rPr>
          <w:rFonts w:eastAsia="Cambria"/>
        </w:rPr>
        <w:t>.</w:t>
      </w:r>
    </w:p>
    <w:p w14:paraId="34DDFBEA" w14:textId="6A319BF7" w:rsidR="0025045B" w:rsidRPr="00F25321" w:rsidRDefault="0025045B" w:rsidP="00913AA5">
      <w:pPr>
        <w:keepNext/>
        <w:keepLines/>
        <w:spacing w:before="240"/>
        <w:ind w:left="-142"/>
        <w:outlineLvl w:val="2"/>
        <w:rPr>
          <w:rFonts w:ascii="Arial Bold" w:eastAsia="Calibri" w:hAnsi="Arial Bold"/>
          <w:bCs/>
          <w:sz w:val="28"/>
          <w:szCs w:val="28"/>
          <w14:ligatures w14:val="standardContextual"/>
        </w:rPr>
      </w:pPr>
      <w:r w:rsidRPr="00F25321">
        <w:rPr>
          <w:rFonts w:ascii="Arial Bold" w:eastAsia="Calibri" w:hAnsi="Arial Bold"/>
          <w:bCs/>
          <w:sz w:val="28"/>
          <w:szCs w:val="28"/>
          <w14:ligatures w14:val="standardContextual"/>
        </w:rPr>
        <w:t>Code of Conduct</w:t>
      </w:r>
    </w:p>
    <w:p w14:paraId="4316186C" w14:textId="2E31F5C7" w:rsidR="0025045B" w:rsidRPr="00666C90" w:rsidRDefault="00D313A8" w:rsidP="00276CE5">
      <w:pPr>
        <w:ind w:left="-142"/>
        <w:rPr>
          <w:rFonts w:eastAsia="Cambria"/>
          <w:color w:val="000000"/>
        </w:rPr>
      </w:pPr>
      <w:r>
        <w:rPr>
          <w:rFonts w:eastAsia="Cambria"/>
          <w:color w:val="000000"/>
        </w:rPr>
        <w:t xml:space="preserve">The Office of IGEM partnered with the PSBA to deliver corporate induction sessions for new employees in 2016-17.  </w:t>
      </w:r>
      <w:r w:rsidR="000600CC">
        <w:rPr>
          <w:rFonts w:eastAsia="Cambria"/>
          <w:color w:val="000000"/>
        </w:rPr>
        <w:t>T</w:t>
      </w:r>
      <w:r w:rsidR="0025045B" w:rsidRPr="00666C90">
        <w:rPr>
          <w:rFonts w:eastAsia="Cambria"/>
          <w:color w:val="000000"/>
        </w:rPr>
        <w:t xml:space="preserve">hese </w:t>
      </w:r>
      <w:r w:rsidR="00B065B4">
        <w:rPr>
          <w:rFonts w:eastAsia="Cambria"/>
          <w:color w:val="000000"/>
        </w:rPr>
        <w:t xml:space="preserve">training </w:t>
      </w:r>
      <w:r w:rsidR="0025045B" w:rsidRPr="00666C90">
        <w:rPr>
          <w:rFonts w:eastAsia="Cambria"/>
          <w:color w:val="000000"/>
        </w:rPr>
        <w:t xml:space="preserve">sessions include relevant information about negative workplace behaviours as </w:t>
      </w:r>
      <w:r w:rsidR="0025045B" w:rsidRPr="00666C90">
        <w:rPr>
          <w:rFonts w:eastAsia="Arial"/>
        </w:rPr>
        <w:t>well</w:t>
      </w:r>
      <w:r w:rsidR="0025045B" w:rsidRPr="00666C90">
        <w:rPr>
          <w:rFonts w:eastAsia="Cambria"/>
          <w:color w:val="000000"/>
        </w:rPr>
        <w:t xml:space="preserve"> as an overview of the </w:t>
      </w:r>
      <w:r w:rsidR="0025045B" w:rsidRPr="00666C90">
        <w:rPr>
          <w:rFonts w:eastAsia="Cambria"/>
          <w:i/>
          <w:color w:val="000000"/>
        </w:rPr>
        <w:t>Code of Conduct for the Queensland Public Service</w:t>
      </w:r>
      <w:r w:rsidR="0025045B" w:rsidRPr="00666C90">
        <w:rPr>
          <w:rFonts w:eastAsia="Cambria"/>
          <w:color w:val="000000"/>
        </w:rPr>
        <w:t xml:space="preserve">. </w:t>
      </w:r>
    </w:p>
    <w:p w14:paraId="253BB7EC" w14:textId="51F9ACEA" w:rsidR="00B065B4" w:rsidRDefault="0025045B" w:rsidP="00276CE5">
      <w:pPr>
        <w:ind w:left="-142"/>
        <w:rPr>
          <w:rFonts w:eastAsia="Cambria"/>
          <w:color w:val="000000"/>
        </w:rPr>
      </w:pPr>
      <w:r w:rsidRPr="00666C90">
        <w:rPr>
          <w:rFonts w:eastAsia="Cambria"/>
          <w:color w:val="000000"/>
        </w:rPr>
        <w:t xml:space="preserve">During the reporting period, </w:t>
      </w:r>
      <w:r w:rsidR="00B065B4">
        <w:rPr>
          <w:rFonts w:eastAsia="Cambria"/>
          <w:color w:val="000000"/>
        </w:rPr>
        <w:t>2</w:t>
      </w:r>
      <w:r w:rsidR="00FA2DE5">
        <w:rPr>
          <w:rFonts w:eastAsia="Cambria"/>
          <w:color w:val="000000"/>
        </w:rPr>
        <w:t>0</w:t>
      </w:r>
      <w:r w:rsidR="00B065B4">
        <w:rPr>
          <w:rFonts w:eastAsia="Cambria"/>
          <w:color w:val="000000"/>
        </w:rPr>
        <w:t xml:space="preserve"> Office of the IGEM </w:t>
      </w:r>
      <w:r w:rsidR="00D313A8">
        <w:rPr>
          <w:rFonts w:eastAsia="Cambria"/>
          <w:color w:val="000000"/>
        </w:rPr>
        <w:t xml:space="preserve">staff </w:t>
      </w:r>
      <w:r w:rsidR="0007252F">
        <w:rPr>
          <w:rFonts w:eastAsia="Cambria"/>
          <w:color w:val="000000"/>
        </w:rPr>
        <w:t>completed c</w:t>
      </w:r>
      <w:r w:rsidR="00B065B4">
        <w:rPr>
          <w:rFonts w:eastAsia="Cambria"/>
          <w:color w:val="000000"/>
        </w:rPr>
        <w:t xml:space="preserve">ode of </w:t>
      </w:r>
      <w:r w:rsidR="0007252F">
        <w:rPr>
          <w:rFonts w:eastAsia="Cambria"/>
          <w:color w:val="000000"/>
        </w:rPr>
        <w:t>c</w:t>
      </w:r>
      <w:r w:rsidR="00B065B4">
        <w:rPr>
          <w:rFonts w:eastAsia="Cambria"/>
          <w:color w:val="000000"/>
        </w:rPr>
        <w:t xml:space="preserve">onduct </w:t>
      </w:r>
      <w:r w:rsidR="00FA2DE5">
        <w:rPr>
          <w:rFonts w:eastAsia="Cambria"/>
          <w:color w:val="000000"/>
        </w:rPr>
        <w:t xml:space="preserve">e-learning training. </w:t>
      </w:r>
    </w:p>
    <w:p w14:paraId="1FD984D3" w14:textId="77777777" w:rsidR="00710224" w:rsidRDefault="00710224"/>
    <w:p w14:paraId="76C95290" w14:textId="77777777" w:rsidR="00710224" w:rsidRDefault="00710224"/>
    <w:p w14:paraId="2AB016CA" w14:textId="77777777" w:rsidR="00B95D08" w:rsidRDefault="00B95D08">
      <w:pPr>
        <w:rPr>
          <w:rFonts w:ascii="Arial Bold" w:eastAsia="Times New Roman" w:hAnsi="Arial Bold"/>
          <w:b/>
          <w:i/>
          <w:color w:val="AB054C"/>
          <w:sz w:val="36"/>
          <w14:ligatures w14:val="standardContextual"/>
        </w:rPr>
      </w:pPr>
      <w:r>
        <w:br w:type="page"/>
      </w:r>
    </w:p>
    <w:p w14:paraId="4067204B" w14:textId="77777777" w:rsidR="00426138" w:rsidRPr="000F0BC6" w:rsidRDefault="00CD630C" w:rsidP="007703EB">
      <w:pPr>
        <w:pStyle w:val="Heading2"/>
      </w:pPr>
      <w:bookmarkStart w:id="174" w:name="_Toc460406685"/>
      <w:bookmarkStart w:id="175" w:name="_Toc460406835"/>
      <w:bookmarkStart w:id="176" w:name="_Toc460406871"/>
      <w:bookmarkStart w:id="177" w:name="_Toc460406950"/>
      <w:bookmarkStart w:id="178" w:name="_Toc460407064"/>
      <w:bookmarkStart w:id="179" w:name="_Toc492622960"/>
      <w:r w:rsidRPr="000F0BC6">
        <w:lastRenderedPageBreak/>
        <w:t>Risk m</w:t>
      </w:r>
      <w:r w:rsidR="00426138" w:rsidRPr="000F0BC6">
        <w:t xml:space="preserve">anagement </w:t>
      </w:r>
      <w:r w:rsidR="0070144E" w:rsidRPr="000F0BC6">
        <w:t xml:space="preserve">and </w:t>
      </w:r>
      <w:r w:rsidRPr="000F0BC6">
        <w:t>a</w:t>
      </w:r>
      <w:r w:rsidR="00426138" w:rsidRPr="000F0BC6">
        <w:t>ccountability</w:t>
      </w:r>
      <w:bookmarkEnd w:id="168"/>
      <w:bookmarkEnd w:id="169"/>
      <w:bookmarkEnd w:id="170"/>
      <w:bookmarkEnd w:id="171"/>
      <w:bookmarkEnd w:id="172"/>
      <w:bookmarkEnd w:id="174"/>
      <w:bookmarkEnd w:id="175"/>
      <w:bookmarkEnd w:id="176"/>
      <w:bookmarkEnd w:id="177"/>
      <w:bookmarkEnd w:id="178"/>
      <w:bookmarkEnd w:id="179"/>
    </w:p>
    <w:p w14:paraId="4F4EC013" w14:textId="77777777" w:rsidR="00426138" w:rsidRPr="001046DB" w:rsidRDefault="00426138" w:rsidP="00913AA5">
      <w:pPr>
        <w:pStyle w:val="Heading3"/>
      </w:pPr>
      <w:bookmarkStart w:id="180" w:name="_Toc441671819"/>
      <w:bookmarkStart w:id="181" w:name="_Toc441672107"/>
      <w:bookmarkStart w:id="182" w:name="_Toc442168894"/>
      <w:r w:rsidRPr="000F0BC6">
        <w:t xml:space="preserve">External </w:t>
      </w:r>
      <w:r w:rsidR="0087438B" w:rsidRPr="000F0BC6">
        <w:t>scrutiny</w:t>
      </w:r>
      <w:bookmarkEnd w:id="180"/>
      <w:bookmarkEnd w:id="181"/>
      <w:bookmarkEnd w:id="182"/>
    </w:p>
    <w:p w14:paraId="635C4FC0" w14:textId="372F3522" w:rsidR="00B95D08" w:rsidRDefault="000D3E23" w:rsidP="00276CE5">
      <w:pPr>
        <w:ind w:left="-142"/>
        <w:rPr>
          <w:rFonts w:eastAsia="Times New Roman"/>
          <w:lang w:eastAsia="en-AU"/>
        </w:rPr>
      </w:pPr>
      <w:r w:rsidRPr="00983277">
        <w:rPr>
          <w:rFonts w:eastAsia="Times New Roman"/>
          <w:lang w:eastAsia="en-AU"/>
        </w:rPr>
        <w:t>This section provides information about external agencies and processes which examined the operations of the Office of the IGEM or other agencies during 201</w:t>
      </w:r>
      <w:r w:rsidR="000600CC">
        <w:rPr>
          <w:rFonts w:eastAsia="Times New Roman"/>
          <w:lang w:eastAsia="en-AU"/>
        </w:rPr>
        <w:t>6-17</w:t>
      </w:r>
      <w:r w:rsidRPr="00983277">
        <w:rPr>
          <w:rFonts w:eastAsia="Times New Roman"/>
          <w:lang w:eastAsia="en-AU"/>
        </w:rPr>
        <w:t xml:space="preserve"> with findings</w:t>
      </w:r>
      <w:r w:rsidR="000600CC">
        <w:rPr>
          <w:rFonts w:eastAsia="Times New Roman"/>
          <w:lang w:eastAsia="en-AU"/>
        </w:rPr>
        <w:t xml:space="preserve"> and </w:t>
      </w:r>
      <w:r w:rsidRPr="00983277">
        <w:rPr>
          <w:rFonts w:eastAsia="Times New Roman"/>
          <w:lang w:eastAsia="en-AU"/>
        </w:rPr>
        <w:t>issues requiring consideration by, or impacting on, the Office of the IGEM:</w:t>
      </w:r>
    </w:p>
    <w:p w14:paraId="29162CF9" w14:textId="77777777" w:rsidR="000600CC" w:rsidRDefault="000600CC" w:rsidP="00A43BD1">
      <w:pPr>
        <w:rPr>
          <w:bCs/>
        </w:rPr>
      </w:pPr>
    </w:p>
    <w:p w14:paraId="456F1113" w14:textId="77777777" w:rsidR="000D3E23" w:rsidRPr="00F578BE" w:rsidRDefault="000D3E23" w:rsidP="00276CE5">
      <w:pPr>
        <w:pStyle w:val="BodyText"/>
        <w:widowControl w:val="0"/>
        <w:numPr>
          <w:ilvl w:val="0"/>
          <w:numId w:val="19"/>
        </w:numPr>
        <w:spacing w:before="60" w:after="60" w:line="251" w:lineRule="exact"/>
        <w:ind w:left="426" w:hanging="568"/>
        <w:rPr>
          <w:b/>
        </w:rPr>
      </w:pPr>
      <w:r w:rsidRPr="00F578BE">
        <w:rPr>
          <w:b/>
        </w:rPr>
        <w:t>Crime and Corruption Commission</w:t>
      </w:r>
    </w:p>
    <w:p w14:paraId="1BEE8678" w14:textId="62CBBC64" w:rsidR="00AA5129" w:rsidRDefault="00AA5129" w:rsidP="00276CE5">
      <w:pPr>
        <w:autoSpaceDE w:val="0"/>
        <w:autoSpaceDN w:val="0"/>
        <w:ind w:left="426"/>
        <w:rPr>
          <w:rFonts w:eastAsia="Times New Roman"/>
          <w:color w:val="000000"/>
          <w:lang w:eastAsia="en-AU"/>
        </w:rPr>
      </w:pPr>
      <w:r w:rsidRPr="00606942">
        <w:rPr>
          <w:rFonts w:eastAsia="Times New Roman"/>
          <w:color w:val="000000"/>
          <w:lang w:eastAsia="en-AU"/>
        </w:rPr>
        <w:t xml:space="preserve">The </w:t>
      </w:r>
      <w:r w:rsidRPr="00606942">
        <w:t>CCC</w:t>
      </w:r>
      <w:r w:rsidRPr="00606942">
        <w:rPr>
          <w:rFonts w:eastAsia="Times New Roman"/>
          <w:color w:val="000000"/>
          <w:lang w:eastAsia="en-AU"/>
        </w:rPr>
        <w:t xml:space="preserve"> is a statutory body established to combat and reduce the incidence of major crime and corruption in the public sector in Queensland. Its functions and powers are set out in the </w:t>
      </w:r>
      <w:r w:rsidRPr="00606942">
        <w:rPr>
          <w:rFonts w:eastAsia="Times New Roman"/>
          <w:i/>
          <w:iCs/>
          <w:color w:val="000000"/>
          <w:lang w:eastAsia="en-AU"/>
        </w:rPr>
        <w:t>Crime and Corruption Act 2001</w:t>
      </w:r>
      <w:r w:rsidRPr="00606942">
        <w:rPr>
          <w:rFonts w:eastAsia="Times New Roman"/>
          <w:color w:val="000000"/>
          <w:lang w:eastAsia="en-AU"/>
        </w:rPr>
        <w:t>. The CCC investigates both crime and corruption, has oversight of both the police and the public sector, and protects witnesses.</w:t>
      </w:r>
      <w:r w:rsidR="002E7439">
        <w:rPr>
          <w:rFonts w:eastAsia="Times New Roman"/>
          <w:color w:val="000000"/>
          <w:lang w:eastAsia="en-AU"/>
        </w:rPr>
        <w:t xml:space="preserve">  The Office of the IGEM refers to the CCC’s Corruption Prevention Advisory resources as necessary.</w:t>
      </w:r>
    </w:p>
    <w:p w14:paraId="44465614" w14:textId="77777777" w:rsidR="00AA5129" w:rsidRDefault="00AA5129" w:rsidP="00276CE5">
      <w:pPr>
        <w:autoSpaceDE w:val="0"/>
        <w:autoSpaceDN w:val="0"/>
        <w:spacing w:before="0" w:after="0"/>
        <w:ind w:left="397" w:hanging="615"/>
        <w:rPr>
          <w:rFonts w:eastAsia="Times New Roman"/>
          <w:color w:val="000000"/>
          <w:lang w:eastAsia="en-AU"/>
        </w:rPr>
      </w:pPr>
    </w:p>
    <w:p w14:paraId="59610A71" w14:textId="77777777" w:rsidR="00AA5129" w:rsidRPr="00230430" w:rsidRDefault="00AA5129" w:rsidP="00276CE5">
      <w:pPr>
        <w:pStyle w:val="BodyText"/>
        <w:widowControl w:val="0"/>
        <w:numPr>
          <w:ilvl w:val="0"/>
          <w:numId w:val="46"/>
        </w:numPr>
        <w:spacing w:before="60" w:after="60" w:line="251" w:lineRule="exact"/>
        <w:ind w:left="473" w:hanging="615"/>
        <w:rPr>
          <w:b/>
          <w:szCs w:val="22"/>
        </w:rPr>
      </w:pPr>
      <w:r w:rsidRPr="00230430">
        <w:rPr>
          <w:b/>
          <w:szCs w:val="22"/>
        </w:rPr>
        <w:t>Queensland Audit Office</w:t>
      </w:r>
    </w:p>
    <w:p w14:paraId="7ADA6E55" w14:textId="77777777" w:rsidR="00AA5129" w:rsidRDefault="00AA5129" w:rsidP="00CB5FBE">
      <w:pPr>
        <w:autoSpaceDE w:val="0"/>
        <w:autoSpaceDN w:val="0"/>
        <w:ind w:left="473"/>
        <w:rPr>
          <w:rStyle w:val="Hyperlink"/>
          <w:szCs w:val="22"/>
          <w:lang w:eastAsia="en-AU"/>
        </w:rPr>
      </w:pPr>
      <w:r w:rsidRPr="00230430">
        <w:rPr>
          <w:szCs w:val="22"/>
        </w:rPr>
        <w:t>The</w:t>
      </w:r>
      <w:r w:rsidRPr="00230430">
        <w:rPr>
          <w:rFonts w:eastAsia="Times New Roman"/>
          <w:szCs w:val="22"/>
          <w:lang w:eastAsia="en-AU"/>
        </w:rPr>
        <w:t xml:space="preserve"> QAO supports the role of the Auditor-General of Queensland in providing the Parliament with an independent assessment of the financial management and performance activities of public sector entities. The QAO provides an independent audit service and reports to the Parliament to enhance public sector accountability. QAO reports </w:t>
      </w:r>
      <w:r>
        <w:rPr>
          <w:rFonts w:eastAsia="Times New Roman"/>
          <w:szCs w:val="22"/>
          <w:lang w:eastAsia="en-AU"/>
        </w:rPr>
        <w:t xml:space="preserve">for 2016-17 </w:t>
      </w:r>
      <w:r w:rsidRPr="00230430">
        <w:rPr>
          <w:rFonts w:eastAsia="Times New Roman"/>
          <w:szCs w:val="22"/>
          <w:lang w:eastAsia="en-AU"/>
        </w:rPr>
        <w:t xml:space="preserve">are available online at </w:t>
      </w:r>
      <w:hyperlink r:id="rId67" w:history="1">
        <w:r w:rsidRPr="001134B6">
          <w:rPr>
            <w:rStyle w:val="Hyperlink"/>
            <w:szCs w:val="22"/>
            <w:lang w:eastAsia="en-AU"/>
          </w:rPr>
          <w:t>www.qao.qld.gov.au</w:t>
        </w:r>
      </w:hyperlink>
    </w:p>
    <w:p w14:paraId="08FD9521" w14:textId="77777777" w:rsidR="00DC4946" w:rsidRDefault="008803F2" w:rsidP="00DC4946">
      <w:pPr>
        <w:pStyle w:val="ListParagraph"/>
        <w:numPr>
          <w:ilvl w:val="0"/>
          <w:numId w:val="48"/>
        </w:numPr>
        <w:spacing w:before="0" w:after="0"/>
        <w:ind w:left="1083" w:hanging="612"/>
        <w:rPr>
          <w:rFonts w:eastAsia="Times New Roman"/>
          <w:szCs w:val="22"/>
          <w:lang w:eastAsia="en-AU"/>
        </w:rPr>
      </w:pPr>
      <w:r w:rsidRPr="008D4AA9">
        <w:rPr>
          <w:rFonts w:eastAsia="Times New Roman"/>
          <w:szCs w:val="22"/>
          <w:lang w:eastAsia="en-AU"/>
        </w:rPr>
        <w:t xml:space="preserve">Report to Parliament No. 1: </w:t>
      </w:r>
      <w:r w:rsidRPr="008D4AA9">
        <w:rPr>
          <w:rFonts w:eastAsia="Times New Roman"/>
          <w:i/>
          <w:szCs w:val="22"/>
          <w:lang w:eastAsia="en-AU"/>
        </w:rPr>
        <w:t>Strategic procurement</w:t>
      </w:r>
      <w:r w:rsidRPr="008D4AA9">
        <w:rPr>
          <w:rFonts w:eastAsia="Times New Roman"/>
          <w:szCs w:val="22"/>
          <w:lang w:eastAsia="en-AU"/>
        </w:rPr>
        <w:t xml:space="preserve"> </w:t>
      </w:r>
    </w:p>
    <w:p w14:paraId="38ADABD9" w14:textId="0162866C" w:rsidR="008803F2" w:rsidRPr="00DC4946" w:rsidRDefault="00DC4946" w:rsidP="00DC4946">
      <w:pPr>
        <w:pStyle w:val="ListParagraph"/>
        <w:spacing w:before="0" w:after="0"/>
        <w:ind w:left="1083"/>
        <w:rPr>
          <w:rFonts w:eastAsia="Times New Roman"/>
          <w:szCs w:val="22"/>
          <w:lang w:eastAsia="en-AU"/>
        </w:rPr>
      </w:pPr>
      <w:r w:rsidRPr="007703EB">
        <w:rPr>
          <w:rFonts w:eastAsia="Times New Roman"/>
          <w:sz w:val="16"/>
          <w:szCs w:val="16"/>
          <w:lang w:eastAsia="en-AU"/>
        </w:rPr>
        <w:br/>
      </w:r>
      <w:r w:rsidR="008803F2" w:rsidRPr="00DC4946">
        <w:rPr>
          <w:rFonts w:eastAsia="Times New Roman"/>
          <w:szCs w:val="22"/>
          <w:lang w:eastAsia="en-AU"/>
        </w:rPr>
        <w:t>Procurement of services and supplies makes up a significant proportion of the total expenditure for Queensland Government departments. This audit examined whether good quality data is available and whether state government departments are achieving and enabling value for money procurement outcomes through effective strategic procurement. It also examined whether there are sufficient measures in place to develop the necessary procurement capability in the staff who work in this field.</w:t>
      </w:r>
    </w:p>
    <w:p w14:paraId="79A66EE8" w14:textId="281E537E" w:rsidR="008803F2" w:rsidRDefault="008803F2" w:rsidP="00DC4946">
      <w:pPr>
        <w:ind w:left="1088"/>
        <w:rPr>
          <w:rFonts w:eastAsia="Times New Roman"/>
          <w:szCs w:val="22"/>
          <w:lang w:eastAsia="en-AU"/>
        </w:rPr>
      </w:pPr>
      <w:r>
        <w:rPr>
          <w:rFonts w:eastAsia="Times New Roman"/>
          <w:szCs w:val="22"/>
          <w:lang w:eastAsia="en-AU"/>
        </w:rPr>
        <w:t xml:space="preserve">Amongst other findings, the audit identified that a number of departments did not have a current procurement plan which prevented them from demonstrating that they monitor the performance of their procurement functions against established measures. In this regard, the report recommends that all government departments work with category leads to develop an agency procurement plan. </w:t>
      </w:r>
      <w:r w:rsidR="00A811F5">
        <w:rPr>
          <w:rFonts w:eastAsia="Times New Roman"/>
          <w:szCs w:val="22"/>
          <w:lang w:eastAsia="en-AU"/>
        </w:rPr>
        <w:t xml:space="preserve">The </w:t>
      </w:r>
      <w:r w:rsidR="000600CC">
        <w:rPr>
          <w:rFonts w:eastAsia="Times New Roman"/>
          <w:szCs w:val="22"/>
          <w:lang w:eastAsia="en-AU"/>
        </w:rPr>
        <w:t xml:space="preserve">public safety portfolio </w:t>
      </w:r>
      <w:r>
        <w:rPr>
          <w:rFonts w:eastAsia="Times New Roman"/>
          <w:szCs w:val="22"/>
          <w:lang w:eastAsia="en-AU"/>
        </w:rPr>
        <w:t xml:space="preserve">are currently reviewing </w:t>
      </w:r>
      <w:r w:rsidRPr="00A26E77">
        <w:rPr>
          <w:rFonts w:eastAsia="Times New Roman"/>
          <w:szCs w:val="22"/>
          <w:lang w:eastAsia="en-AU"/>
        </w:rPr>
        <w:t>Agency Procurement Plan</w:t>
      </w:r>
      <w:r w:rsidR="000600CC">
        <w:rPr>
          <w:rFonts w:eastAsia="Times New Roman"/>
          <w:szCs w:val="22"/>
          <w:lang w:eastAsia="en-AU"/>
        </w:rPr>
        <w:t>s</w:t>
      </w:r>
      <w:r>
        <w:rPr>
          <w:rFonts w:eastAsia="Times New Roman"/>
          <w:szCs w:val="22"/>
          <w:lang w:eastAsia="en-AU"/>
        </w:rPr>
        <w:t xml:space="preserve"> developed by PSBA</w:t>
      </w:r>
      <w:r w:rsidRPr="00A26E77">
        <w:rPr>
          <w:rFonts w:eastAsia="Times New Roman"/>
          <w:szCs w:val="22"/>
          <w:lang w:eastAsia="en-AU"/>
        </w:rPr>
        <w:t>.</w:t>
      </w:r>
      <w:r>
        <w:rPr>
          <w:rFonts w:eastAsia="Times New Roman"/>
          <w:szCs w:val="22"/>
          <w:lang w:eastAsia="en-AU"/>
        </w:rPr>
        <w:t xml:space="preserve"> </w:t>
      </w:r>
    </w:p>
    <w:p w14:paraId="448307D9" w14:textId="18B75469" w:rsidR="00963555" w:rsidRPr="00DC4946" w:rsidRDefault="00963555" w:rsidP="00DC4946">
      <w:pPr>
        <w:pStyle w:val="ListParagraph"/>
        <w:numPr>
          <w:ilvl w:val="0"/>
          <w:numId w:val="48"/>
        </w:numPr>
        <w:ind w:left="1083" w:hanging="612"/>
        <w:rPr>
          <w:rFonts w:eastAsia="Times New Roman"/>
          <w:szCs w:val="22"/>
          <w:lang w:eastAsia="en-AU"/>
        </w:rPr>
      </w:pPr>
      <w:r w:rsidRPr="00963555">
        <w:rPr>
          <w:rFonts w:eastAsia="Times New Roman"/>
          <w:szCs w:val="22"/>
          <w:lang w:eastAsia="en-AU"/>
        </w:rPr>
        <w:t xml:space="preserve">Report to Parliament No. 17: </w:t>
      </w:r>
      <w:r w:rsidRPr="00963555">
        <w:rPr>
          <w:rFonts w:eastAsia="Times New Roman"/>
          <w:i/>
          <w:szCs w:val="22"/>
          <w:lang w:eastAsia="en-AU"/>
        </w:rPr>
        <w:t>Organisational structure and accountability</w:t>
      </w:r>
    </w:p>
    <w:p w14:paraId="736F160B" w14:textId="3BCB8F11" w:rsidR="00963555" w:rsidRDefault="00DC4946" w:rsidP="00DC4946">
      <w:pPr>
        <w:pStyle w:val="ListParagraph"/>
        <w:ind w:left="1089"/>
        <w:rPr>
          <w:rFonts w:eastAsia="Times New Roman"/>
          <w:szCs w:val="22"/>
          <w:lang w:eastAsia="en-AU"/>
        </w:rPr>
      </w:pPr>
      <w:r w:rsidRPr="007703EB">
        <w:rPr>
          <w:rFonts w:eastAsia="Times New Roman"/>
          <w:sz w:val="16"/>
          <w:szCs w:val="16"/>
          <w:lang w:eastAsia="en-AU"/>
        </w:rPr>
        <w:br/>
      </w:r>
      <w:r w:rsidR="00963555" w:rsidRPr="00963555">
        <w:rPr>
          <w:rFonts w:eastAsia="Times New Roman"/>
          <w:szCs w:val="22"/>
          <w:lang w:eastAsia="en-AU"/>
        </w:rPr>
        <w:t>A clearly articulated strategy drives an organisation’s direction and contributes to a strong governance structure.  This audit assessed whether the structure within Queensland Government departments supports the achievement of individual agency strategic objectives as well as government priorities, and whether there is clear accountability for delivering these objectives.</w:t>
      </w:r>
    </w:p>
    <w:p w14:paraId="45540CFC" w14:textId="77777777" w:rsidR="00963555" w:rsidRPr="00963555" w:rsidRDefault="00963555" w:rsidP="00DC4946">
      <w:pPr>
        <w:pStyle w:val="ListParagraph"/>
        <w:spacing w:before="0" w:after="0"/>
        <w:ind w:left="1088"/>
        <w:rPr>
          <w:rFonts w:eastAsia="Times New Roman"/>
          <w:szCs w:val="22"/>
          <w:lang w:eastAsia="en-AU"/>
        </w:rPr>
      </w:pPr>
    </w:p>
    <w:p w14:paraId="07ADA46D" w14:textId="77777777" w:rsidR="00963555" w:rsidRPr="00963555" w:rsidRDefault="00963555" w:rsidP="00DC4946">
      <w:pPr>
        <w:pStyle w:val="ListParagraph"/>
        <w:spacing w:before="0" w:after="0"/>
        <w:ind w:left="1088"/>
        <w:rPr>
          <w:rFonts w:eastAsia="Times New Roman"/>
          <w:szCs w:val="22"/>
          <w:lang w:eastAsia="en-AU"/>
        </w:rPr>
      </w:pPr>
      <w:r w:rsidRPr="00963555">
        <w:rPr>
          <w:rFonts w:eastAsia="Times New Roman"/>
          <w:szCs w:val="22"/>
          <w:lang w:eastAsia="en-AU"/>
        </w:rPr>
        <w:t>Recommendations included enhancements to strategic planning approaches by departments and methods to establish clear alignment between accountability and strategic objectives.  There were also recommendations associated with reviewing staffing structures and workforce profiles to ensure efficient and effective allocation of employees to deliver strategic objectives.  The public safety portfolio agencies will consider these recommendations as part of future planning and performance measurement activities.</w:t>
      </w:r>
    </w:p>
    <w:p w14:paraId="57A1DC9D" w14:textId="77777777" w:rsidR="008340B8" w:rsidRDefault="008340B8" w:rsidP="00276CE5">
      <w:pPr>
        <w:ind w:hanging="615"/>
        <w:rPr>
          <w:rFonts w:ascii="Arial Bold" w:eastAsia="Calibri" w:hAnsi="Arial Bold"/>
          <w:b/>
          <w:bCs/>
          <w:sz w:val="28"/>
          <w14:ligatures w14:val="standardContextual"/>
        </w:rPr>
      </w:pPr>
      <w:bookmarkStart w:id="183" w:name="_Toc441671820"/>
      <w:bookmarkStart w:id="184" w:name="_Toc441672108"/>
      <w:bookmarkStart w:id="185" w:name="_Toc442168895"/>
      <w:r>
        <w:br w:type="page"/>
      </w:r>
    </w:p>
    <w:p w14:paraId="5F7629A8" w14:textId="35FD75ED" w:rsidR="00426138" w:rsidRPr="00A01CB2" w:rsidRDefault="00426138" w:rsidP="00913AA5">
      <w:pPr>
        <w:pStyle w:val="Heading3"/>
      </w:pPr>
      <w:r w:rsidRPr="000F0BC6">
        <w:lastRenderedPageBreak/>
        <w:t>Internal audit</w:t>
      </w:r>
      <w:bookmarkEnd w:id="183"/>
      <w:bookmarkEnd w:id="184"/>
      <w:bookmarkEnd w:id="185"/>
    </w:p>
    <w:p w14:paraId="7C2CC9D7" w14:textId="643CE77E" w:rsidR="00FA290C" w:rsidRPr="002B2292" w:rsidRDefault="00FA290C" w:rsidP="00CB5FBE">
      <w:pPr>
        <w:ind w:left="-142"/>
        <w:rPr>
          <w:szCs w:val="22"/>
        </w:rPr>
      </w:pPr>
      <w:bookmarkStart w:id="186" w:name="_Toc441671821"/>
      <w:bookmarkStart w:id="187" w:name="_Toc441672109"/>
      <w:bookmarkStart w:id="188" w:name="_Toc442168896"/>
      <w:r w:rsidRPr="002B2292">
        <w:rPr>
          <w:szCs w:val="22"/>
        </w:rPr>
        <w:t xml:space="preserve">The PSBA Internal Audit Unit is an independent unit that provides advice across a wide range of </w:t>
      </w:r>
      <w:r w:rsidRPr="002B2292">
        <w:t>disciplines</w:t>
      </w:r>
      <w:r w:rsidRPr="002B2292">
        <w:rPr>
          <w:szCs w:val="22"/>
        </w:rPr>
        <w:t xml:space="preserve"> including risk, assurance, information technology, finance, compliance and general consulting activities for the Office of the IGEM, </w:t>
      </w:r>
      <w:r w:rsidR="001F7658">
        <w:rPr>
          <w:szCs w:val="22"/>
        </w:rPr>
        <w:t xml:space="preserve">PSBA, </w:t>
      </w:r>
      <w:r w:rsidRPr="002B2292">
        <w:rPr>
          <w:szCs w:val="22"/>
        </w:rPr>
        <w:t xml:space="preserve">QFES and QPS. </w:t>
      </w:r>
    </w:p>
    <w:p w14:paraId="5D483570" w14:textId="77777777" w:rsidR="00FA290C" w:rsidRPr="002B2292" w:rsidRDefault="00FA290C" w:rsidP="00CB5FBE">
      <w:pPr>
        <w:ind w:left="-142"/>
        <w:rPr>
          <w:szCs w:val="22"/>
        </w:rPr>
      </w:pPr>
      <w:r w:rsidRPr="002B2292">
        <w:t>The</w:t>
      </w:r>
      <w:r w:rsidRPr="002B2292">
        <w:rPr>
          <w:szCs w:val="22"/>
        </w:rPr>
        <w:t xml:space="preserve"> Head of Internal Audit, PSBA is also the nominated Head of Internal Audit for the Office of the IGEM, QFES and QPS in accordance with the </w:t>
      </w:r>
      <w:r w:rsidRPr="002B2292">
        <w:rPr>
          <w:i/>
          <w:szCs w:val="22"/>
        </w:rPr>
        <w:t>Financial Accountability Act</w:t>
      </w:r>
      <w:r w:rsidRPr="002B2292">
        <w:rPr>
          <w:szCs w:val="22"/>
        </w:rPr>
        <w:t xml:space="preserve"> </w:t>
      </w:r>
      <w:r w:rsidRPr="002B2292">
        <w:rPr>
          <w:i/>
          <w:szCs w:val="22"/>
        </w:rPr>
        <w:t>2009</w:t>
      </w:r>
      <w:r w:rsidRPr="002B2292">
        <w:rPr>
          <w:szCs w:val="22"/>
        </w:rPr>
        <w:t>.</w:t>
      </w:r>
    </w:p>
    <w:p w14:paraId="3636FF1A" w14:textId="77777777" w:rsidR="00FA290C" w:rsidRPr="002B2292" w:rsidRDefault="00FA290C" w:rsidP="00CB5FBE">
      <w:pPr>
        <w:ind w:left="-142"/>
        <w:rPr>
          <w:szCs w:val="22"/>
        </w:rPr>
      </w:pPr>
      <w:r w:rsidRPr="002B2292">
        <w:rPr>
          <w:szCs w:val="22"/>
        </w:rPr>
        <w:t xml:space="preserve">The work of the Internal Audit Unit is undertaken in accordance with the Institute of Internal Auditors’ </w:t>
      </w:r>
      <w:r w:rsidRPr="002B2292">
        <w:t>standards</w:t>
      </w:r>
      <w:r w:rsidRPr="002B2292">
        <w:rPr>
          <w:szCs w:val="22"/>
        </w:rPr>
        <w:t xml:space="preserve"> and under an approved charter which is consistent with relevant audit and ethical standards.</w:t>
      </w:r>
    </w:p>
    <w:p w14:paraId="76E5541F" w14:textId="77777777" w:rsidR="00FA290C" w:rsidRPr="002B2292" w:rsidRDefault="00FA290C" w:rsidP="00CB5FBE">
      <w:pPr>
        <w:ind w:left="-142"/>
        <w:rPr>
          <w:szCs w:val="22"/>
        </w:rPr>
      </w:pPr>
      <w:r w:rsidRPr="002B2292">
        <w:rPr>
          <w:szCs w:val="22"/>
        </w:rPr>
        <w:t xml:space="preserve">In </w:t>
      </w:r>
      <w:r w:rsidRPr="002B2292">
        <w:t>accordance</w:t>
      </w:r>
      <w:r w:rsidRPr="002B2292">
        <w:rPr>
          <w:szCs w:val="22"/>
        </w:rPr>
        <w:t xml:space="preserve"> with the </w:t>
      </w:r>
      <w:r w:rsidRPr="002B2292">
        <w:rPr>
          <w:i/>
          <w:iCs/>
          <w:szCs w:val="22"/>
        </w:rPr>
        <w:t xml:space="preserve">Financial and Performance Management Standard 2009, </w:t>
      </w:r>
      <w:r w:rsidRPr="002B2292">
        <w:rPr>
          <w:szCs w:val="22"/>
        </w:rPr>
        <w:t>an annual audit plan and four year strategic plan sets the direction of the unit. The public safety portfolio</w:t>
      </w:r>
      <w:r w:rsidRPr="002B2292">
        <w:rPr>
          <w:i/>
          <w:szCs w:val="22"/>
        </w:rPr>
        <w:t xml:space="preserve"> Annual Internal Audit Plan 2016-2017</w:t>
      </w:r>
      <w:r w:rsidRPr="002B2292">
        <w:rPr>
          <w:szCs w:val="22"/>
        </w:rPr>
        <w:t xml:space="preserve"> was endorsed by the Public Safety Portfolio Audit and Risk Committee and approved by the former A/Chief Operating Officer, PSBA on 14 September 2016.</w:t>
      </w:r>
    </w:p>
    <w:p w14:paraId="56D914A2" w14:textId="77777777" w:rsidR="00FA290C" w:rsidRPr="002B2292" w:rsidRDefault="00FA290C" w:rsidP="00CB5FBE">
      <w:pPr>
        <w:ind w:left="-142"/>
        <w:rPr>
          <w:szCs w:val="22"/>
        </w:rPr>
      </w:pPr>
      <w:r w:rsidRPr="002B2292">
        <w:rPr>
          <w:szCs w:val="22"/>
        </w:rPr>
        <w:t xml:space="preserve">As secretariat to the Public Safety Portfolio Audit and Risk Committee, the unit ensures that all relevant guidelines, particularly Queensland Treasury’s </w:t>
      </w:r>
      <w:r w:rsidRPr="002B2292">
        <w:rPr>
          <w:i/>
          <w:szCs w:val="22"/>
        </w:rPr>
        <w:t>Audit Committee Guidelines: Improving Accountability and Performance</w:t>
      </w:r>
      <w:r w:rsidRPr="002B2292">
        <w:rPr>
          <w:szCs w:val="22"/>
        </w:rPr>
        <w:t>, are adhered to, and that the functioning of the unit complies with these guidelines in all material respects.</w:t>
      </w:r>
    </w:p>
    <w:p w14:paraId="12D77A18" w14:textId="17440CE9" w:rsidR="00FA290C" w:rsidRPr="00FF2525" w:rsidRDefault="00FA290C" w:rsidP="00FF2525">
      <w:pPr>
        <w:ind w:left="-142"/>
        <w:rPr>
          <w:szCs w:val="22"/>
        </w:rPr>
      </w:pPr>
      <w:r w:rsidRPr="002B2292">
        <w:rPr>
          <w:szCs w:val="22"/>
        </w:rPr>
        <w:t xml:space="preserve">The unit assists management to achieve its objectives by using a systematic, disciplined approach to review </w:t>
      </w:r>
      <w:r w:rsidRPr="002B2292">
        <w:t>and</w:t>
      </w:r>
      <w:r w:rsidRPr="002B2292">
        <w:rPr>
          <w:szCs w:val="22"/>
        </w:rPr>
        <w:t xml:space="preserve"> improve the effectiveness of risk management and internal control and governance processes, improving the overall level of compliance and accountability. Under its approved charter, the unit can undertake a series of review types including compliance (effectiveness), performance (efficiency), financial management and information technology, to identify areas of risk and to improve outcomes. Systems are in place to ensure the effective, efficient and economic o</w:t>
      </w:r>
      <w:r w:rsidR="00FF2525">
        <w:rPr>
          <w:szCs w:val="22"/>
        </w:rPr>
        <w:t>peration of the audit function.</w:t>
      </w:r>
    </w:p>
    <w:p w14:paraId="5C47D893" w14:textId="77777777" w:rsidR="00FA290C" w:rsidRPr="002B2292" w:rsidRDefault="00FA290C" w:rsidP="00FF2525">
      <w:pPr>
        <w:ind w:left="-142"/>
        <w:rPr>
          <w:szCs w:val="22"/>
        </w:rPr>
      </w:pPr>
      <w:r w:rsidRPr="002B2292">
        <w:t>Achievements</w:t>
      </w:r>
      <w:r w:rsidRPr="002B2292">
        <w:rPr>
          <w:szCs w:val="22"/>
        </w:rPr>
        <w:t xml:space="preserve"> for 201</w:t>
      </w:r>
      <w:r>
        <w:rPr>
          <w:szCs w:val="22"/>
        </w:rPr>
        <w:t>6</w:t>
      </w:r>
      <w:r w:rsidRPr="002B2292">
        <w:rPr>
          <w:szCs w:val="22"/>
        </w:rPr>
        <w:t>-1</w:t>
      </w:r>
      <w:r>
        <w:rPr>
          <w:szCs w:val="22"/>
        </w:rPr>
        <w:t xml:space="preserve">7 </w:t>
      </w:r>
      <w:r w:rsidRPr="002B2292">
        <w:rPr>
          <w:szCs w:val="22"/>
        </w:rPr>
        <w:t>include:</w:t>
      </w:r>
    </w:p>
    <w:p w14:paraId="4B4C5472" w14:textId="2EE81BF8" w:rsidR="00FA290C" w:rsidRDefault="007403BD" w:rsidP="00CB5FBE">
      <w:pPr>
        <w:pStyle w:val="BodyText"/>
        <w:widowControl w:val="0"/>
        <w:numPr>
          <w:ilvl w:val="0"/>
          <w:numId w:val="44"/>
        </w:numPr>
        <w:spacing w:line="251" w:lineRule="exact"/>
        <w:ind w:left="284" w:hanging="426"/>
      </w:pPr>
      <w:r w:rsidRPr="00C22E64">
        <w:rPr>
          <w:szCs w:val="22"/>
        </w:rPr>
        <w:t>progressed</w:t>
      </w:r>
      <w:r w:rsidRPr="00C22E64">
        <w:rPr>
          <w:rFonts w:eastAsia="Cambria"/>
          <w:szCs w:val="22"/>
        </w:rPr>
        <w:t xml:space="preserve"> </w:t>
      </w:r>
      <w:r w:rsidRPr="00C22E64">
        <w:rPr>
          <w:rFonts w:eastAsia="Cambria"/>
          <w:bCs/>
          <w:szCs w:val="22"/>
        </w:rPr>
        <w:t>delivery</w:t>
      </w:r>
      <w:r w:rsidRPr="00C22E64">
        <w:rPr>
          <w:rFonts w:eastAsia="Cambria"/>
          <w:szCs w:val="22"/>
        </w:rPr>
        <w:t xml:space="preserve"> of the approved portfolio </w:t>
      </w:r>
      <w:r w:rsidRPr="00C22E64">
        <w:rPr>
          <w:rFonts w:eastAsia="Cambria"/>
          <w:i/>
          <w:szCs w:val="22"/>
        </w:rPr>
        <w:t>Annual Internal Audit Plan 2016</w:t>
      </w:r>
      <w:r w:rsidRPr="00C22E64">
        <w:rPr>
          <w:szCs w:val="22"/>
        </w:rPr>
        <w:t>–</w:t>
      </w:r>
      <w:r w:rsidRPr="00C22E64">
        <w:rPr>
          <w:rFonts w:eastAsia="Cambria"/>
          <w:i/>
          <w:szCs w:val="22"/>
        </w:rPr>
        <w:t>2017</w:t>
      </w:r>
      <w:r>
        <w:rPr>
          <w:rFonts w:eastAsia="Cambria"/>
          <w:i/>
          <w:szCs w:val="22"/>
        </w:rPr>
        <w:t xml:space="preserve">, </w:t>
      </w:r>
      <w:r w:rsidR="00FA290C" w:rsidRPr="0093409F">
        <w:t xml:space="preserve">providing professional and timely advice to management and client agencies through a combination of </w:t>
      </w:r>
      <w:r w:rsidR="00FA290C" w:rsidRPr="002B2292">
        <w:t>in</w:t>
      </w:r>
      <w:r w:rsidR="00FA290C" w:rsidRPr="0093409F">
        <w:t>-house and co-sourced providers</w:t>
      </w:r>
      <w:r w:rsidR="00FA290C">
        <w:t xml:space="preserve"> with</w:t>
      </w:r>
      <w:r w:rsidR="00FA290C" w:rsidRPr="0093409F">
        <w:t xml:space="preserve"> no carry forward of 201</w:t>
      </w:r>
      <w:r w:rsidR="00FA290C">
        <w:t>6-17 a</w:t>
      </w:r>
      <w:r w:rsidR="00FA290C" w:rsidRPr="0093409F">
        <w:t xml:space="preserve">udit activities. All planned reviews have commenced, fieldwork completed and are at either draft or final report stage. </w:t>
      </w:r>
      <w:r w:rsidR="00FA290C">
        <w:t xml:space="preserve"> Final reports are </w:t>
      </w:r>
      <w:r w:rsidR="00FA290C" w:rsidRPr="0093409F">
        <w:t xml:space="preserve">expected to be </w:t>
      </w:r>
      <w:r>
        <w:t xml:space="preserve">delivered by 30 September </w:t>
      </w:r>
      <w:r w:rsidR="00FA290C" w:rsidRPr="0093409F">
        <w:t>201</w:t>
      </w:r>
      <w:r w:rsidR="00FA290C">
        <w:t>7</w:t>
      </w:r>
    </w:p>
    <w:p w14:paraId="4A507979" w14:textId="6C8AE6F4" w:rsidR="00FA290C" w:rsidRPr="009112E1" w:rsidRDefault="00FA290C" w:rsidP="00CB5FBE">
      <w:pPr>
        <w:pStyle w:val="BodyText"/>
        <w:widowControl w:val="0"/>
        <w:numPr>
          <w:ilvl w:val="0"/>
          <w:numId w:val="44"/>
        </w:numPr>
        <w:spacing w:line="251" w:lineRule="exact"/>
        <w:ind w:left="284" w:hanging="426"/>
        <w:rPr>
          <w:i/>
          <w:szCs w:val="22"/>
          <w:lang w:val="en-AU"/>
        </w:rPr>
      </w:pPr>
      <w:r>
        <w:t xml:space="preserve">portfolio wide reviews that had an </w:t>
      </w:r>
      <w:r w:rsidRPr="002B2292">
        <w:rPr>
          <w:szCs w:val="22"/>
        </w:rPr>
        <w:t>Office of the IGEM</w:t>
      </w:r>
      <w:r w:rsidDel="002D5286">
        <w:t xml:space="preserve"> </w:t>
      </w:r>
      <w:r>
        <w:t xml:space="preserve">component such as: the implementation of prior audit recommendations, and </w:t>
      </w:r>
      <w:r>
        <w:rPr>
          <w:szCs w:val="22"/>
        </w:rPr>
        <w:t>corporate card usage</w:t>
      </w:r>
      <w:r>
        <w:rPr>
          <w:i/>
          <w:szCs w:val="22"/>
          <w:lang w:val="en-AU"/>
        </w:rPr>
        <w:t>.</w:t>
      </w:r>
      <w:r w:rsidR="00DF15CD" w:rsidRPr="00D463F2">
        <w:rPr>
          <w:szCs w:val="22"/>
          <w:lang w:val="en-AU"/>
        </w:rPr>
        <w:t xml:space="preserve"> The O</w:t>
      </w:r>
      <w:r w:rsidR="00A811F5" w:rsidRPr="00D463F2">
        <w:rPr>
          <w:szCs w:val="22"/>
          <w:lang w:val="en-AU"/>
        </w:rPr>
        <w:t>ffice of the</w:t>
      </w:r>
      <w:r w:rsidRPr="00D463F2">
        <w:rPr>
          <w:szCs w:val="22"/>
          <w:lang w:val="en-AU"/>
        </w:rPr>
        <w:t xml:space="preserve"> </w:t>
      </w:r>
      <w:r w:rsidR="0007252F" w:rsidRPr="00D463F2">
        <w:rPr>
          <w:szCs w:val="22"/>
          <w:lang w:val="en-AU"/>
        </w:rPr>
        <w:t>IGEM was excluded from p</w:t>
      </w:r>
      <w:r w:rsidRPr="00D463F2">
        <w:rPr>
          <w:szCs w:val="22"/>
          <w:lang w:val="en-AU"/>
        </w:rPr>
        <w:t xml:space="preserve">ortfolio reviews of data classification, and social engineering due to the major review of </w:t>
      </w:r>
      <w:r w:rsidR="00D463F2">
        <w:rPr>
          <w:szCs w:val="22"/>
          <w:lang w:val="en-AU"/>
        </w:rPr>
        <w:t xml:space="preserve">the effectiveness of the disaster management system in Queensland. </w:t>
      </w:r>
    </w:p>
    <w:p w14:paraId="64C3BEC8" w14:textId="27CB0778" w:rsidR="00172824" w:rsidRPr="00B44796" w:rsidRDefault="00FA290C" w:rsidP="00CB5FBE">
      <w:pPr>
        <w:pStyle w:val="BodyText"/>
        <w:widowControl w:val="0"/>
        <w:numPr>
          <w:ilvl w:val="0"/>
          <w:numId w:val="44"/>
        </w:numPr>
        <w:spacing w:line="251" w:lineRule="exact"/>
        <w:ind w:left="284" w:hanging="426"/>
        <w:rPr>
          <w:szCs w:val="22"/>
        </w:rPr>
      </w:pPr>
      <w:r w:rsidRPr="002B2292">
        <w:t>successful</w:t>
      </w:r>
      <w:r w:rsidRPr="0093409F">
        <w:t xml:space="preserve"> </w:t>
      </w:r>
      <w:r>
        <w:t xml:space="preserve">negotiation </w:t>
      </w:r>
      <w:r w:rsidR="00D463F2">
        <w:t xml:space="preserve">and </w:t>
      </w:r>
      <w:r w:rsidRPr="0093409F">
        <w:t>management</w:t>
      </w:r>
      <w:r w:rsidRPr="002B2292">
        <w:rPr>
          <w:szCs w:val="22"/>
        </w:rPr>
        <w:t xml:space="preserve"> of a co-sourced delivery model </w:t>
      </w:r>
      <w:r>
        <w:rPr>
          <w:szCs w:val="22"/>
        </w:rPr>
        <w:t xml:space="preserve">for provision of Office of the IGEM audit services </w:t>
      </w:r>
    </w:p>
    <w:p w14:paraId="04FDE3A1" w14:textId="7CE7C73E" w:rsidR="00172824" w:rsidRPr="00D11766" w:rsidRDefault="00FA290C" w:rsidP="00CB5FBE">
      <w:pPr>
        <w:pStyle w:val="BodyText"/>
        <w:widowControl w:val="0"/>
        <w:numPr>
          <w:ilvl w:val="0"/>
          <w:numId w:val="44"/>
        </w:numPr>
        <w:spacing w:line="251" w:lineRule="exact"/>
        <w:ind w:left="284" w:hanging="426"/>
        <w:rPr>
          <w:szCs w:val="22"/>
        </w:rPr>
      </w:pPr>
      <w:r w:rsidRPr="002B2292">
        <w:t>effective</w:t>
      </w:r>
      <w:r w:rsidRPr="00D11766">
        <w:rPr>
          <w:szCs w:val="22"/>
        </w:rPr>
        <w:t xml:space="preserve"> working relationships with client agencies and the </w:t>
      </w:r>
      <w:r w:rsidR="007056CF">
        <w:rPr>
          <w:szCs w:val="22"/>
        </w:rPr>
        <w:t>QAO</w:t>
      </w:r>
      <w:r w:rsidRPr="00D11766">
        <w:rPr>
          <w:szCs w:val="22"/>
        </w:rPr>
        <w:t xml:space="preserve"> were maintained.</w:t>
      </w:r>
    </w:p>
    <w:p w14:paraId="021189C3" w14:textId="1B124559" w:rsidR="00426138" w:rsidRPr="000F0BC6" w:rsidRDefault="00426138" w:rsidP="00913AA5">
      <w:pPr>
        <w:pStyle w:val="Heading3"/>
      </w:pPr>
      <w:r w:rsidRPr="000F0BC6">
        <w:rPr>
          <w:szCs w:val="28"/>
        </w:rPr>
        <w:t>I</w:t>
      </w:r>
      <w:r w:rsidRPr="000F0BC6">
        <w:t>nformation systems and recordkeeping</w:t>
      </w:r>
      <w:bookmarkEnd w:id="186"/>
      <w:bookmarkEnd w:id="187"/>
      <w:bookmarkEnd w:id="188"/>
    </w:p>
    <w:p w14:paraId="5F8036D3" w14:textId="68984424" w:rsidR="00592EEC" w:rsidRPr="004758E5" w:rsidRDefault="00172824" w:rsidP="00CB5FBE">
      <w:pPr>
        <w:ind w:left="-142"/>
      </w:pPr>
      <w:r w:rsidRPr="00F635CD">
        <w:t xml:space="preserve">PSBA has a dedicated records management team </w:t>
      </w:r>
      <w:r w:rsidR="0056398C">
        <w:t xml:space="preserve">that </w:t>
      </w:r>
      <w:r w:rsidRPr="00F635CD">
        <w:t xml:space="preserve">provides advice and assistance to the </w:t>
      </w:r>
      <w:r w:rsidR="00592EEC">
        <w:t>O</w:t>
      </w:r>
      <w:r w:rsidRPr="00F635CD">
        <w:t xml:space="preserve">ffice of IGEM. </w:t>
      </w:r>
      <w:r w:rsidR="0007252F">
        <w:t>T</w:t>
      </w:r>
      <w:r w:rsidR="007056CF">
        <w:t>he O</w:t>
      </w:r>
      <w:r w:rsidRPr="00F635CD">
        <w:t xml:space="preserve">ffice </w:t>
      </w:r>
      <w:r w:rsidR="008340B8">
        <w:t xml:space="preserve">of the IGEM </w:t>
      </w:r>
      <w:r w:rsidRPr="00F635CD">
        <w:t xml:space="preserve">continues to use Mincor and the network drives to manage electronic </w:t>
      </w:r>
      <w:r w:rsidRPr="004758E5">
        <w:t xml:space="preserve">documentation and Recfind to manage hard copy records. </w:t>
      </w:r>
    </w:p>
    <w:p w14:paraId="695BE21A" w14:textId="5F6F0E73" w:rsidR="00172824" w:rsidRDefault="00172824" w:rsidP="00CB5FBE">
      <w:pPr>
        <w:ind w:left="-142"/>
      </w:pPr>
      <w:r w:rsidRPr="004758E5">
        <w:t>No records were transferred to Queensla</w:t>
      </w:r>
      <w:r w:rsidR="00D463F2">
        <w:t>nd State Archives during 2016-</w:t>
      </w:r>
      <w:r w:rsidRPr="004758E5">
        <w:t>2017.</w:t>
      </w:r>
      <w:r w:rsidR="0056398C">
        <w:t xml:space="preserve"> </w:t>
      </w:r>
    </w:p>
    <w:p w14:paraId="3D073CEB" w14:textId="77777777" w:rsidR="002E7439" w:rsidRDefault="002E7439" w:rsidP="00CB5FBE">
      <w:pPr>
        <w:ind w:left="-142"/>
      </w:pPr>
    </w:p>
    <w:p w14:paraId="49F49C9E" w14:textId="77777777" w:rsidR="007703EB" w:rsidRDefault="007703EB">
      <w:pPr>
        <w:rPr>
          <w:rFonts w:ascii="Arial Bold" w:eastAsia="Times New Roman" w:hAnsi="Arial Bold"/>
          <w:b/>
          <w:bCs/>
          <w:sz w:val="28"/>
          <w14:ligatures w14:val="standardContextual"/>
        </w:rPr>
      </w:pPr>
      <w:r>
        <w:rPr>
          <w:rFonts w:eastAsia="Times New Roman"/>
        </w:rPr>
        <w:br w:type="page"/>
      </w:r>
    </w:p>
    <w:p w14:paraId="4F392AC7" w14:textId="3169FBFB" w:rsidR="002E7439" w:rsidRDefault="002E7439" w:rsidP="00913AA5">
      <w:pPr>
        <w:pStyle w:val="Heading3"/>
      </w:pPr>
      <w:r>
        <w:lastRenderedPageBreak/>
        <w:t>Risk management</w:t>
      </w:r>
    </w:p>
    <w:p w14:paraId="5F2AF805" w14:textId="77777777" w:rsidR="002E7439" w:rsidRDefault="002E7439" w:rsidP="00577071">
      <w:pPr>
        <w:ind w:left="-142"/>
        <w:rPr>
          <w:lang w:val="en-AU" w:eastAsia="en-US"/>
        </w:rPr>
      </w:pPr>
      <w:r>
        <w:rPr>
          <w:lang w:eastAsia="en-US"/>
        </w:rPr>
        <w:t>Risk management in the Office of the IGEM is governed by the Risk Management Framework and the Guide to Strategic and Operational Risk Management. The risk management methodology outlined in these documents and implemented in the Office of the IGEM is in line with Standards Australia AS/NZS ISO 31000:2009 Risk management – Principles and guidelines.</w:t>
      </w:r>
    </w:p>
    <w:p w14:paraId="0E79CEF5" w14:textId="77777777" w:rsidR="002E7439" w:rsidRDefault="002E7439" w:rsidP="00577071">
      <w:pPr>
        <w:ind w:left="-142"/>
        <w:rPr>
          <w:lang w:eastAsia="en-US"/>
        </w:rPr>
      </w:pPr>
      <w:r>
        <w:rPr>
          <w:lang w:eastAsia="en-US"/>
        </w:rPr>
        <w:t xml:space="preserve">Strategic and operational risks identified by the Office of the IGEM are monitored and reviewed on a regular basis to ensure the Office is well placed to deliver its strategic objectives and operational activities.  </w:t>
      </w:r>
    </w:p>
    <w:p w14:paraId="72053922" w14:textId="77777777" w:rsidR="002E7439" w:rsidRDefault="002E7439" w:rsidP="00577071">
      <w:pPr>
        <w:ind w:left="-142"/>
        <w:rPr>
          <w:lang w:eastAsia="en-US"/>
        </w:rPr>
      </w:pPr>
      <w:r>
        <w:rPr>
          <w:lang w:eastAsia="en-US"/>
        </w:rPr>
        <w:t>During 2016-17, the Office of the IGEM sought support and advice from PSBA in relation to risk management matters where necessary.</w:t>
      </w:r>
    </w:p>
    <w:p w14:paraId="4D6DCD07" w14:textId="77777777" w:rsidR="002E7439" w:rsidRDefault="002E7439" w:rsidP="002E7439">
      <w:pPr>
        <w:rPr>
          <w:rFonts w:ascii="Calibri" w:hAnsi="Calibri"/>
          <w:lang w:eastAsia="en-US"/>
        </w:rPr>
      </w:pPr>
    </w:p>
    <w:p w14:paraId="60DF56D3" w14:textId="1EDCFDF5" w:rsidR="005F50D1" w:rsidRDefault="005F50D1">
      <w:pPr>
        <w:rPr>
          <w:rFonts w:ascii="Calibri" w:hAnsi="Calibri" w:cs="Times New Roman"/>
          <w:color w:val="AB054C" w:themeColor="accent3"/>
          <w:kern w:val="0"/>
          <w:lang w:val="en-AU" w:eastAsia="en-US"/>
        </w:rPr>
      </w:pPr>
      <w:r>
        <w:rPr>
          <w:rFonts w:ascii="Calibri" w:hAnsi="Calibri" w:cs="Times New Roman"/>
          <w:color w:val="AB054C" w:themeColor="accent3"/>
          <w:kern w:val="0"/>
          <w:lang w:val="en-AU" w:eastAsia="en-US"/>
        </w:rPr>
        <w:br w:type="page"/>
      </w:r>
    </w:p>
    <w:p w14:paraId="40DBA9F9" w14:textId="77777777" w:rsidR="00426138" w:rsidRPr="00341581" w:rsidRDefault="00426138" w:rsidP="007703EB">
      <w:pPr>
        <w:pStyle w:val="Heading2"/>
      </w:pPr>
      <w:bookmarkStart w:id="189" w:name="_Toc415049807"/>
      <w:bookmarkStart w:id="190" w:name="_Toc415050359"/>
      <w:bookmarkStart w:id="191" w:name="_Toc441671822"/>
      <w:bookmarkStart w:id="192" w:name="_Toc441672110"/>
      <w:bookmarkStart w:id="193" w:name="_Toc442168897"/>
      <w:bookmarkStart w:id="194" w:name="_Toc460406686"/>
      <w:bookmarkStart w:id="195" w:name="_Toc460406836"/>
      <w:bookmarkStart w:id="196" w:name="_Toc460406872"/>
      <w:bookmarkStart w:id="197" w:name="_Toc460406951"/>
      <w:bookmarkStart w:id="198" w:name="_Toc460407065"/>
      <w:bookmarkStart w:id="199" w:name="_Toc492622961"/>
      <w:r w:rsidRPr="000F0BC6">
        <w:lastRenderedPageBreak/>
        <w:t>Human resources</w:t>
      </w:r>
      <w:bookmarkEnd w:id="189"/>
      <w:bookmarkEnd w:id="190"/>
      <w:bookmarkEnd w:id="191"/>
      <w:bookmarkEnd w:id="192"/>
      <w:bookmarkEnd w:id="193"/>
      <w:bookmarkEnd w:id="194"/>
      <w:bookmarkEnd w:id="195"/>
      <w:bookmarkEnd w:id="196"/>
      <w:bookmarkEnd w:id="197"/>
      <w:bookmarkEnd w:id="198"/>
      <w:bookmarkEnd w:id="199"/>
    </w:p>
    <w:p w14:paraId="46149896" w14:textId="77777777" w:rsidR="000657A4" w:rsidRPr="000657A4" w:rsidRDefault="00C316D4" w:rsidP="00913AA5">
      <w:pPr>
        <w:spacing w:before="240"/>
        <w:ind w:left="-142"/>
        <w:rPr>
          <w:b/>
          <w:sz w:val="28"/>
          <w:szCs w:val="28"/>
        </w:rPr>
      </w:pPr>
      <w:r>
        <w:rPr>
          <w:b/>
          <w:sz w:val="28"/>
          <w:szCs w:val="28"/>
        </w:rPr>
        <w:t xml:space="preserve">Workforce planning </w:t>
      </w:r>
      <w:r w:rsidR="000657A4" w:rsidRPr="000657A4">
        <w:rPr>
          <w:b/>
          <w:sz w:val="28"/>
          <w:szCs w:val="28"/>
        </w:rPr>
        <w:t>and performance</w:t>
      </w:r>
    </w:p>
    <w:p w14:paraId="3E693E71" w14:textId="3C127A8C" w:rsidR="00F6598D" w:rsidRPr="0036663B" w:rsidRDefault="00F6598D" w:rsidP="00CB5FBE">
      <w:pPr>
        <w:keepNext/>
        <w:keepLines/>
        <w:spacing w:after="240"/>
        <w:ind w:left="-142"/>
        <w:outlineLvl w:val="2"/>
        <w:rPr>
          <w:rFonts w:eastAsia="Calibri"/>
          <w:bCs/>
          <w:sz w:val="28"/>
          <w:szCs w:val="28"/>
          <w14:ligatures w14:val="standardContextual"/>
        </w:rPr>
      </w:pPr>
      <w:r w:rsidRPr="0036663B">
        <w:rPr>
          <w:rFonts w:eastAsia="Calibri"/>
          <w:bCs/>
          <w:szCs w:val="22"/>
          <w14:ligatures w14:val="standardContextual"/>
        </w:rPr>
        <w:t xml:space="preserve">The </w:t>
      </w:r>
      <w:r>
        <w:rPr>
          <w:rFonts w:eastAsia="Calibri"/>
          <w:bCs/>
          <w14:ligatures w14:val="standardContextual"/>
        </w:rPr>
        <w:t>PSBA</w:t>
      </w:r>
      <w:r w:rsidRPr="0036663B">
        <w:rPr>
          <w:rFonts w:eastAsia="Calibri"/>
          <w:bCs/>
          <w:szCs w:val="22"/>
          <w14:ligatures w14:val="standardContextual"/>
        </w:rPr>
        <w:t xml:space="preserve"> </w:t>
      </w:r>
      <w:r w:rsidR="007056CF">
        <w:rPr>
          <w:rFonts w:eastAsia="Calibri"/>
          <w:bCs/>
          <w14:ligatures w14:val="standardContextual"/>
        </w:rPr>
        <w:t>delivers quality human r</w:t>
      </w:r>
      <w:r>
        <w:rPr>
          <w:rFonts w:eastAsia="Calibri"/>
          <w:bCs/>
          <w14:ligatures w14:val="standardContextual"/>
        </w:rPr>
        <w:t>esource</w:t>
      </w:r>
      <w:r w:rsidR="00977C2B">
        <w:rPr>
          <w:rFonts w:eastAsia="Calibri"/>
          <w:bCs/>
          <w14:ligatures w14:val="standardContextual"/>
        </w:rPr>
        <w:t xml:space="preserve"> </w:t>
      </w:r>
      <w:r w:rsidR="005F50D1">
        <w:rPr>
          <w:rFonts w:eastAsia="Calibri"/>
          <w:bCs/>
          <w14:ligatures w14:val="standardContextual"/>
        </w:rPr>
        <w:t xml:space="preserve">(HR) </w:t>
      </w:r>
      <w:r>
        <w:rPr>
          <w:rFonts w:eastAsia="Calibri"/>
          <w:bCs/>
          <w14:ligatures w14:val="standardContextual"/>
        </w:rPr>
        <w:t xml:space="preserve">services to the Office of the IGEM. These services are delivered under a Service </w:t>
      </w:r>
      <w:r w:rsidR="0056398C">
        <w:rPr>
          <w:rFonts w:eastAsia="Calibri"/>
          <w:bCs/>
          <w14:ligatures w14:val="standardContextual"/>
        </w:rPr>
        <w:t xml:space="preserve">Agreement and </w:t>
      </w:r>
      <w:r>
        <w:rPr>
          <w:rFonts w:eastAsia="Calibri"/>
          <w:bCs/>
          <w14:ligatures w14:val="standardContextual"/>
        </w:rPr>
        <w:t xml:space="preserve">Catalogue, which clearly outlines the responsibilities of </w:t>
      </w:r>
      <w:r w:rsidR="007056CF">
        <w:rPr>
          <w:rFonts w:eastAsia="Calibri"/>
          <w:bCs/>
          <w14:ligatures w14:val="standardContextual"/>
        </w:rPr>
        <w:t xml:space="preserve">the Office of the </w:t>
      </w:r>
      <w:r>
        <w:rPr>
          <w:rFonts w:eastAsia="Calibri"/>
          <w:bCs/>
          <w14:ligatures w14:val="standardContextual"/>
        </w:rPr>
        <w:t xml:space="preserve">IGEM and PSBA in delivering </w:t>
      </w:r>
      <w:r w:rsidR="005F50D1">
        <w:rPr>
          <w:rFonts w:eastAsia="Calibri"/>
          <w:bCs/>
          <w14:ligatures w14:val="standardContextual"/>
        </w:rPr>
        <w:t>HR</w:t>
      </w:r>
      <w:r w:rsidR="0007252F">
        <w:rPr>
          <w:rFonts w:eastAsia="Calibri"/>
          <w:bCs/>
          <w14:ligatures w14:val="standardContextual"/>
        </w:rPr>
        <w:t xml:space="preserve"> </w:t>
      </w:r>
      <w:r>
        <w:rPr>
          <w:rFonts w:eastAsia="Calibri"/>
          <w:bCs/>
          <w14:ligatures w14:val="standardContextual"/>
        </w:rPr>
        <w:t xml:space="preserve">services to support the achievement of </w:t>
      </w:r>
      <w:r w:rsidR="007056CF">
        <w:rPr>
          <w:rFonts w:eastAsia="Calibri"/>
          <w:bCs/>
          <w14:ligatures w14:val="standardContextual"/>
        </w:rPr>
        <w:t xml:space="preserve">the Office of the </w:t>
      </w:r>
      <w:r>
        <w:rPr>
          <w:rFonts w:eastAsia="Calibri"/>
          <w:bCs/>
          <w14:ligatures w14:val="standardContextual"/>
        </w:rPr>
        <w:t xml:space="preserve">IGEM’s strategic workforce priorities and employee requirements. </w:t>
      </w:r>
    </w:p>
    <w:p w14:paraId="668D4CB7" w14:textId="77777777" w:rsidR="00F6598D" w:rsidRPr="0036663B" w:rsidRDefault="00F6598D" w:rsidP="00913AA5">
      <w:pPr>
        <w:keepNext/>
        <w:keepLines/>
        <w:spacing w:before="240"/>
        <w:ind w:left="-142"/>
        <w:outlineLvl w:val="2"/>
        <w:rPr>
          <w:rFonts w:eastAsia="Cambria"/>
          <w:b/>
          <w:sz w:val="28"/>
          <w:szCs w:val="28"/>
        </w:rPr>
      </w:pPr>
      <w:r w:rsidRPr="0036663B">
        <w:rPr>
          <w:rFonts w:eastAsia="Cambria"/>
          <w:b/>
          <w:sz w:val="28"/>
          <w:szCs w:val="28"/>
        </w:rPr>
        <w:t xml:space="preserve">Workforce profile </w:t>
      </w:r>
    </w:p>
    <w:p w14:paraId="55C4F640" w14:textId="0A3E682B" w:rsidR="00F6598D" w:rsidRPr="00B471FA" w:rsidRDefault="00F6598D" w:rsidP="00CB5FBE">
      <w:pPr>
        <w:autoSpaceDE w:val="0"/>
        <w:autoSpaceDN w:val="0"/>
        <w:adjustRightInd w:val="0"/>
        <w:ind w:left="-142"/>
        <w:rPr>
          <w:rFonts w:eastAsia="Arial"/>
        </w:rPr>
      </w:pPr>
      <w:r w:rsidRPr="00B471FA">
        <w:rPr>
          <w:rFonts w:eastAsia="Arial"/>
        </w:rPr>
        <w:t xml:space="preserve">The </w:t>
      </w:r>
      <w:r w:rsidRPr="00B471FA">
        <w:rPr>
          <w:rFonts w:eastAsia="Cambria"/>
        </w:rPr>
        <w:t>total</w:t>
      </w:r>
      <w:r w:rsidRPr="00B471FA">
        <w:rPr>
          <w:rFonts w:eastAsia="Arial"/>
        </w:rPr>
        <w:t xml:space="preserve"> head count (including active paid and unpaid employees) for the Office of the IGEM as at 30 June 2017 was 24 (22.9 F</w:t>
      </w:r>
      <w:r w:rsidR="0007252F" w:rsidRPr="00B471FA">
        <w:rPr>
          <w:rFonts w:eastAsia="Arial"/>
        </w:rPr>
        <w:t xml:space="preserve">ull </w:t>
      </w:r>
      <w:r w:rsidRPr="00B471FA">
        <w:rPr>
          <w:rFonts w:eastAsia="Arial"/>
        </w:rPr>
        <w:t>T</w:t>
      </w:r>
      <w:r w:rsidR="0007252F" w:rsidRPr="00B471FA">
        <w:rPr>
          <w:rFonts w:eastAsia="Arial"/>
        </w:rPr>
        <w:t xml:space="preserve">ime </w:t>
      </w:r>
      <w:r w:rsidRPr="00B471FA">
        <w:rPr>
          <w:rFonts w:eastAsia="Arial"/>
        </w:rPr>
        <w:t>E</w:t>
      </w:r>
      <w:r w:rsidR="0007252F" w:rsidRPr="00B471FA">
        <w:rPr>
          <w:rFonts w:eastAsia="Arial"/>
        </w:rPr>
        <w:t>quivalent (FTE)</w:t>
      </w:r>
      <w:r w:rsidRPr="00B471FA">
        <w:rPr>
          <w:rFonts w:eastAsia="Arial"/>
        </w:rPr>
        <w:t>). The active paid headcount component was 21 (FTE 19.9).</w:t>
      </w:r>
    </w:p>
    <w:p w14:paraId="0027D310" w14:textId="77777777" w:rsidR="00F6598D" w:rsidRDefault="00F6598D" w:rsidP="00CB5FBE">
      <w:pPr>
        <w:autoSpaceDE w:val="0"/>
        <w:autoSpaceDN w:val="0"/>
        <w:adjustRightInd w:val="0"/>
        <w:spacing w:after="240"/>
        <w:ind w:left="-142"/>
        <w:rPr>
          <w:rFonts w:eastAsia="Cambria"/>
          <w:b/>
        </w:rPr>
      </w:pPr>
      <w:r w:rsidRPr="00B471FA">
        <w:rPr>
          <w:rFonts w:eastAsia="Cambria"/>
        </w:rPr>
        <w:t xml:space="preserve">Between 1 July 2016 and 30 June 2017, the Office of the </w:t>
      </w:r>
      <w:r w:rsidRPr="00B471FA">
        <w:rPr>
          <w:rFonts w:eastAsia="Arial"/>
        </w:rPr>
        <w:t xml:space="preserve">IGEM’s </w:t>
      </w:r>
      <w:r w:rsidRPr="00B471FA">
        <w:rPr>
          <w:rFonts w:eastAsia="Cambria"/>
        </w:rPr>
        <w:t>permanent separation rate was 19%. The separation rate is for permanent staff only and excludes contract staff.</w:t>
      </w:r>
      <w:r w:rsidRPr="00C80D62">
        <w:rPr>
          <w:rFonts w:eastAsia="Cambria"/>
        </w:rPr>
        <w:t xml:space="preserve">   </w:t>
      </w:r>
    </w:p>
    <w:p w14:paraId="12D8D02D" w14:textId="77777777" w:rsidR="00F6598D" w:rsidRPr="0036663B" w:rsidRDefault="00F6598D" w:rsidP="00913AA5">
      <w:pPr>
        <w:spacing w:before="240"/>
        <w:ind w:left="-142"/>
        <w:rPr>
          <w:rFonts w:eastAsia="Cambria"/>
          <w:b/>
          <w:sz w:val="28"/>
          <w:szCs w:val="28"/>
        </w:rPr>
      </w:pPr>
      <w:r w:rsidRPr="0036663B">
        <w:rPr>
          <w:rFonts w:eastAsia="Cambria"/>
          <w:b/>
          <w:sz w:val="28"/>
          <w:szCs w:val="28"/>
        </w:rPr>
        <w:t xml:space="preserve">Corporate induction </w:t>
      </w:r>
    </w:p>
    <w:p w14:paraId="22B70D24" w14:textId="2BF413F8" w:rsidR="00F6598D" w:rsidRDefault="00F6598D" w:rsidP="00CB5FBE">
      <w:pPr>
        <w:spacing w:after="240"/>
        <w:ind w:left="-142"/>
        <w:rPr>
          <w:rFonts w:eastAsia="Cambria"/>
          <w:b/>
        </w:rPr>
      </w:pPr>
      <w:r>
        <w:rPr>
          <w:rFonts w:eastAsia="Cambria"/>
        </w:rPr>
        <w:t xml:space="preserve">The </w:t>
      </w:r>
      <w:r w:rsidR="00B4291C">
        <w:rPr>
          <w:rFonts w:eastAsia="Cambria"/>
        </w:rPr>
        <w:t>O</w:t>
      </w:r>
      <w:r>
        <w:rPr>
          <w:rFonts w:eastAsia="Cambria"/>
        </w:rPr>
        <w:t xml:space="preserve">ffice of the </w:t>
      </w:r>
      <w:r w:rsidRPr="0036663B">
        <w:rPr>
          <w:rFonts w:eastAsia="Cambria"/>
        </w:rPr>
        <w:t xml:space="preserve">IGEM partnered with the </w:t>
      </w:r>
      <w:r w:rsidRPr="00423679">
        <w:rPr>
          <w:rFonts w:eastAsia="Cambria"/>
        </w:rPr>
        <w:t xml:space="preserve">PSBA </w:t>
      </w:r>
      <w:r w:rsidRPr="0036663B">
        <w:rPr>
          <w:rFonts w:eastAsia="Cambria"/>
        </w:rPr>
        <w:t xml:space="preserve">to deliver </w:t>
      </w:r>
      <w:r w:rsidRPr="00423679">
        <w:rPr>
          <w:rFonts w:eastAsia="Cambria"/>
        </w:rPr>
        <w:t xml:space="preserve">corporate induction sessions </w:t>
      </w:r>
      <w:r w:rsidRPr="0036663B">
        <w:rPr>
          <w:rFonts w:eastAsia="Cambria"/>
        </w:rPr>
        <w:t>for new employees i</w:t>
      </w:r>
      <w:r w:rsidRPr="00423679">
        <w:rPr>
          <w:rFonts w:eastAsia="Cambria"/>
        </w:rPr>
        <w:t>n 2016–17</w:t>
      </w:r>
      <w:r w:rsidRPr="0036663B">
        <w:rPr>
          <w:rFonts w:eastAsia="Cambria"/>
        </w:rPr>
        <w:t xml:space="preserve">. The corporate induction program was </w:t>
      </w:r>
      <w:r w:rsidRPr="00844BAE">
        <w:rPr>
          <w:rFonts w:eastAsia="Cambria"/>
        </w:rPr>
        <w:t xml:space="preserve">reviewed and revitalised </w:t>
      </w:r>
      <w:r>
        <w:rPr>
          <w:rFonts w:eastAsia="Cambria"/>
        </w:rPr>
        <w:t xml:space="preserve">to enhance the orientation experience for new employees. </w:t>
      </w:r>
      <w:r w:rsidRPr="00844BAE">
        <w:rPr>
          <w:rFonts w:eastAsia="Cambria"/>
        </w:rPr>
        <w:t xml:space="preserve">The day-long program is delivered on a quarterly basis and provides participants with the opportunity to hear from divisional and portfolio representatives, and network with colleagues. The program covers a broad range of topics including: corporate vision and strategic objectives, conditions of employment, employee entitlements, workplace conduct and performance, safety and wellbeing, and diversity and inclusion. Feedback from attendees has been consistently positive with all valuing the opportunity to personally meet and hear from senior leaders across the public safety portfolio. </w:t>
      </w:r>
    </w:p>
    <w:p w14:paraId="637FE829" w14:textId="77777777" w:rsidR="00F6598D" w:rsidRPr="0036663B" w:rsidRDefault="00F6598D" w:rsidP="00913AA5">
      <w:pPr>
        <w:spacing w:before="240"/>
        <w:ind w:left="-142"/>
        <w:rPr>
          <w:rFonts w:eastAsia="Cambria"/>
          <w:b/>
          <w:sz w:val="28"/>
          <w:szCs w:val="28"/>
        </w:rPr>
      </w:pPr>
      <w:r w:rsidRPr="0036663B">
        <w:rPr>
          <w:rFonts w:eastAsia="Cambria"/>
          <w:b/>
          <w:sz w:val="28"/>
          <w:szCs w:val="28"/>
        </w:rPr>
        <w:t xml:space="preserve">Performance management </w:t>
      </w:r>
    </w:p>
    <w:p w14:paraId="3CFA6741" w14:textId="2EB5AE7D" w:rsidR="00F6598D" w:rsidRPr="0036663B" w:rsidRDefault="0056398C" w:rsidP="00CB5FBE">
      <w:pPr>
        <w:spacing w:after="240"/>
        <w:ind w:left="-142"/>
        <w:rPr>
          <w:rFonts w:eastAsia="Cambria"/>
          <w:bCs/>
          <w:lang w:val="en-AU"/>
        </w:rPr>
      </w:pPr>
      <w:r>
        <w:rPr>
          <w:rFonts w:eastAsia="Cambria"/>
        </w:rPr>
        <w:t>A</w:t>
      </w:r>
      <w:r w:rsidR="00F6598D">
        <w:rPr>
          <w:rFonts w:eastAsia="Cambria"/>
        </w:rPr>
        <w:t xml:space="preserve"> </w:t>
      </w:r>
      <w:r w:rsidR="00F6598D" w:rsidRPr="00410581">
        <w:rPr>
          <w:rFonts w:eastAsia="Cambria"/>
        </w:rPr>
        <w:t xml:space="preserve">Performance and Development </w:t>
      </w:r>
      <w:r>
        <w:rPr>
          <w:rFonts w:eastAsia="Cambria"/>
        </w:rPr>
        <w:t xml:space="preserve">Planning (PDP) process </w:t>
      </w:r>
      <w:r w:rsidR="00F6598D">
        <w:rPr>
          <w:rFonts w:eastAsia="Cambria"/>
        </w:rPr>
        <w:t xml:space="preserve">was implemented across the Office of the IGEM to </w:t>
      </w:r>
      <w:r>
        <w:rPr>
          <w:rFonts w:eastAsia="Cambria"/>
        </w:rPr>
        <w:t xml:space="preserve">assist </w:t>
      </w:r>
      <w:r w:rsidR="00F6598D" w:rsidRPr="00410581">
        <w:rPr>
          <w:rFonts w:eastAsia="Cambria"/>
        </w:rPr>
        <w:t>employees to achieve the highest level of performance</w:t>
      </w:r>
      <w:r w:rsidR="00977C2B">
        <w:rPr>
          <w:rFonts w:eastAsia="Cambria"/>
        </w:rPr>
        <w:t>,</w:t>
      </w:r>
      <w:r w:rsidR="00F6598D" w:rsidRPr="00410581">
        <w:rPr>
          <w:rFonts w:eastAsia="Cambria"/>
        </w:rPr>
        <w:t xml:space="preserve"> </w:t>
      </w:r>
      <w:r w:rsidR="003753EF">
        <w:rPr>
          <w:rFonts w:eastAsia="Cambria"/>
        </w:rPr>
        <w:t xml:space="preserve">and </w:t>
      </w:r>
      <w:r w:rsidR="00F6598D" w:rsidRPr="00410581">
        <w:rPr>
          <w:rFonts w:eastAsia="Cambria"/>
        </w:rPr>
        <w:t xml:space="preserve">support </w:t>
      </w:r>
      <w:r w:rsidR="003753EF">
        <w:rPr>
          <w:rFonts w:eastAsia="Cambria"/>
        </w:rPr>
        <w:t xml:space="preserve">the delivery of </w:t>
      </w:r>
      <w:r w:rsidR="00F6598D" w:rsidRPr="00410581">
        <w:rPr>
          <w:rFonts w:eastAsia="Cambria"/>
        </w:rPr>
        <w:t xml:space="preserve">strategic goals and business objectives. The </w:t>
      </w:r>
      <w:r w:rsidR="003753EF">
        <w:rPr>
          <w:rFonts w:eastAsia="Cambria"/>
        </w:rPr>
        <w:t xml:space="preserve">PDP process </w:t>
      </w:r>
      <w:r w:rsidR="00F6598D" w:rsidRPr="00410581">
        <w:rPr>
          <w:rFonts w:eastAsia="Cambria"/>
        </w:rPr>
        <w:t>applies to all employees</w:t>
      </w:r>
      <w:r w:rsidR="003753EF">
        <w:rPr>
          <w:rFonts w:eastAsia="Cambria"/>
        </w:rPr>
        <w:t xml:space="preserve">. It </w:t>
      </w:r>
      <w:r w:rsidR="00F6598D">
        <w:rPr>
          <w:rFonts w:eastAsia="Cambria"/>
        </w:rPr>
        <w:t>outlines</w:t>
      </w:r>
      <w:r w:rsidR="00F6598D" w:rsidRPr="00410581">
        <w:rPr>
          <w:rFonts w:eastAsia="Cambria"/>
        </w:rPr>
        <w:t xml:space="preserve"> what is expected of each employee in their </w:t>
      </w:r>
      <w:r w:rsidR="003753EF">
        <w:rPr>
          <w:rFonts w:eastAsia="Cambria"/>
        </w:rPr>
        <w:t>role</w:t>
      </w:r>
      <w:r w:rsidR="00977C2B">
        <w:rPr>
          <w:rFonts w:eastAsia="Cambria"/>
        </w:rPr>
        <w:t>,</w:t>
      </w:r>
      <w:r w:rsidR="003753EF">
        <w:rPr>
          <w:rFonts w:eastAsia="Cambria"/>
        </w:rPr>
        <w:t xml:space="preserve"> </w:t>
      </w:r>
      <w:r w:rsidR="00F6598D" w:rsidRPr="00410581">
        <w:rPr>
          <w:rFonts w:eastAsia="Cambria"/>
        </w:rPr>
        <w:t xml:space="preserve">and the support and professional development available to </w:t>
      </w:r>
      <w:r w:rsidR="003753EF">
        <w:rPr>
          <w:rFonts w:eastAsia="Cambria"/>
        </w:rPr>
        <w:t xml:space="preserve">build capability and </w:t>
      </w:r>
      <w:r w:rsidR="00F6598D" w:rsidRPr="00410581">
        <w:rPr>
          <w:rFonts w:eastAsia="Cambria"/>
        </w:rPr>
        <w:t>achieve business outcomes.</w:t>
      </w:r>
    </w:p>
    <w:p w14:paraId="6D57F3D7" w14:textId="77777777" w:rsidR="00F6598D" w:rsidRPr="0036663B" w:rsidRDefault="00F6598D" w:rsidP="00913AA5">
      <w:pPr>
        <w:spacing w:before="240"/>
        <w:ind w:left="-142"/>
        <w:rPr>
          <w:rFonts w:eastAsia="Cambria"/>
          <w:b/>
          <w:bCs/>
          <w:sz w:val="28"/>
          <w:szCs w:val="28"/>
        </w:rPr>
      </w:pPr>
      <w:r w:rsidRPr="0036663B">
        <w:rPr>
          <w:rFonts w:eastAsia="Cambria"/>
          <w:b/>
          <w:bCs/>
          <w:sz w:val="28"/>
          <w:szCs w:val="28"/>
        </w:rPr>
        <w:t xml:space="preserve">International Women’s Day </w:t>
      </w:r>
    </w:p>
    <w:p w14:paraId="62326707" w14:textId="77777777" w:rsidR="00F6598D" w:rsidRPr="0036663B" w:rsidRDefault="00F6598D" w:rsidP="00CB5FBE">
      <w:pPr>
        <w:ind w:left="-142"/>
        <w:rPr>
          <w:rFonts w:eastAsia="Cambria"/>
          <w:bCs/>
        </w:rPr>
      </w:pPr>
      <w:r w:rsidRPr="0036663B">
        <w:rPr>
          <w:rFonts w:eastAsia="Cambria"/>
          <w:bCs/>
        </w:rPr>
        <w:t xml:space="preserve">International Women’s Day was celebrated on 8 March 2017 with </w:t>
      </w:r>
      <w:r>
        <w:rPr>
          <w:rFonts w:eastAsia="Cambria"/>
          <w:bCs/>
        </w:rPr>
        <w:t>more than</w:t>
      </w:r>
      <w:r w:rsidRPr="0036663B">
        <w:rPr>
          <w:rFonts w:eastAsia="Cambria"/>
          <w:bCs/>
        </w:rPr>
        <w:t xml:space="preserve"> 700 people attending a public safety portfolio luncheon event. The theme of the event was ‘Innovation driving inspirational change’.</w:t>
      </w:r>
    </w:p>
    <w:p w14:paraId="42A77559" w14:textId="77777777" w:rsidR="00F6598D" w:rsidRPr="0036663B" w:rsidRDefault="00F6598D" w:rsidP="00CB5FBE">
      <w:pPr>
        <w:ind w:left="-142"/>
        <w:rPr>
          <w:rFonts w:eastAsia="Cambria"/>
          <w:bCs/>
        </w:rPr>
      </w:pPr>
      <w:r w:rsidRPr="0036663B">
        <w:rPr>
          <w:rFonts w:eastAsia="Cambria"/>
          <w:bCs/>
        </w:rPr>
        <w:t>The keynote speaker for the event was Matthew Lawson – Owner/Director of The Cutting Edge Group who was followed by a panel discussion with Deanne Gibbon, Associate Director Workforce Diversity and Inclusion at the University of Queensland, Nicole Gibson, Chief Executive, The Rogue &amp; Rouge Foundation and Start Up Apprentice</w:t>
      </w:r>
      <w:r w:rsidRPr="00223F92">
        <w:rPr>
          <w:rFonts w:eastAsia="Cambria"/>
          <w:bCs/>
        </w:rPr>
        <w:t xml:space="preserve">, </w:t>
      </w:r>
      <w:r w:rsidRPr="0036663B">
        <w:rPr>
          <w:rFonts w:eastAsia="Cambria"/>
          <w:bCs/>
        </w:rPr>
        <w:t xml:space="preserve">and the Inspector-General Emergency Management, Iain MacKenzie. </w:t>
      </w:r>
    </w:p>
    <w:p w14:paraId="2D4DB033" w14:textId="4698F6EF" w:rsidR="00F6598D" w:rsidRPr="0036663B" w:rsidRDefault="00F6598D" w:rsidP="00CB5FBE">
      <w:pPr>
        <w:ind w:left="-142"/>
        <w:rPr>
          <w:rFonts w:eastAsia="Cambria"/>
          <w:bCs/>
        </w:rPr>
      </w:pPr>
      <w:r w:rsidRPr="0036663B">
        <w:rPr>
          <w:rFonts w:eastAsia="Cambria"/>
          <w:bCs/>
        </w:rPr>
        <w:t>The event also included a public safety agencies</w:t>
      </w:r>
      <w:r>
        <w:rPr>
          <w:rFonts w:eastAsia="Cambria"/>
          <w:bCs/>
        </w:rPr>
        <w:t>’</w:t>
      </w:r>
      <w:r w:rsidRPr="0036663B">
        <w:rPr>
          <w:rFonts w:eastAsia="Cambria"/>
          <w:bCs/>
        </w:rPr>
        <w:t xml:space="preserve"> awards ceremony which recognised and acknowledged the achievement of women </w:t>
      </w:r>
      <w:r w:rsidR="003753EF">
        <w:rPr>
          <w:rFonts w:eastAsia="Cambria"/>
          <w:bCs/>
        </w:rPr>
        <w:t xml:space="preserve">in </w:t>
      </w:r>
      <w:r w:rsidRPr="0036663B">
        <w:rPr>
          <w:rFonts w:eastAsia="Cambria"/>
          <w:bCs/>
        </w:rPr>
        <w:t xml:space="preserve">a number of award categories. </w:t>
      </w:r>
    </w:p>
    <w:p w14:paraId="186D5857" w14:textId="77777777" w:rsidR="00F6598D" w:rsidRDefault="00F6598D" w:rsidP="00F6598D">
      <w:pPr>
        <w:rPr>
          <w:rFonts w:eastAsia="Cambria"/>
          <w:b/>
        </w:rPr>
      </w:pPr>
      <w:r>
        <w:rPr>
          <w:rFonts w:eastAsia="Cambria"/>
          <w:b/>
        </w:rPr>
        <w:br w:type="page"/>
      </w:r>
    </w:p>
    <w:p w14:paraId="35E2C3D8" w14:textId="77777777" w:rsidR="00F6598D" w:rsidRPr="0036663B" w:rsidRDefault="00F6598D" w:rsidP="00913AA5">
      <w:pPr>
        <w:spacing w:before="240"/>
        <w:ind w:left="-142"/>
        <w:rPr>
          <w:rFonts w:eastAsia="Cambria"/>
          <w:b/>
          <w:sz w:val="28"/>
          <w:szCs w:val="28"/>
        </w:rPr>
      </w:pPr>
      <w:r w:rsidRPr="0036663B">
        <w:rPr>
          <w:rFonts w:eastAsia="Cambria"/>
          <w:b/>
          <w:sz w:val="28"/>
          <w:szCs w:val="28"/>
        </w:rPr>
        <w:lastRenderedPageBreak/>
        <w:t xml:space="preserve">Domestic and family violence support package </w:t>
      </w:r>
    </w:p>
    <w:p w14:paraId="577FFED3" w14:textId="77777777" w:rsidR="00F6598D" w:rsidRPr="0036663B" w:rsidRDefault="00F6598D" w:rsidP="00CB5FBE">
      <w:pPr>
        <w:ind w:left="-142"/>
        <w:rPr>
          <w:rFonts w:eastAsia="Cambria"/>
        </w:rPr>
      </w:pPr>
      <w:r w:rsidRPr="0036663B">
        <w:rPr>
          <w:rFonts w:eastAsia="Cambria"/>
        </w:rPr>
        <w:t>In September 2016,</w:t>
      </w:r>
      <w:r>
        <w:rPr>
          <w:rFonts w:eastAsia="Cambria"/>
        </w:rPr>
        <w:t xml:space="preserve"> the Office of the</w:t>
      </w:r>
      <w:r w:rsidRPr="0036663B">
        <w:rPr>
          <w:rFonts w:eastAsia="Cambria"/>
        </w:rPr>
        <w:t xml:space="preserve"> </w:t>
      </w:r>
      <w:r>
        <w:rPr>
          <w:rFonts w:eastAsia="Cambria"/>
        </w:rPr>
        <w:t>IGEM</w:t>
      </w:r>
      <w:r w:rsidRPr="0036663B">
        <w:rPr>
          <w:rFonts w:eastAsia="Cambria"/>
        </w:rPr>
        <w:t xml:space="preserve">, PSBA and QPS committed to achieving White Ribbon Australia Workplace Accreditation along with </w:t>
      </w:r>
      <w:r>
        <w:rPr>
          <w:rFonts w:eastAsia="Cambria"/>
        </w:rPr>
        <w:t>13 other Queensland Government a</w:t>
      </w:r>
      <w:r w:rsidRPr="0036663B">
        <w:rPr>
          <w:rFonts w:eastAsia="Cambria"/>
        </w:rPr>
        <w:t>gencies. Agencies have worked together since then to undertake significant awareness raising and capability building activities to drive cultural change aimed at preventing violence against women and supporting those affected by domestic and family violence (DFV). Initiatives include:</w:t>
      </w:r>
    </w:p>
    <w:p w14:paraId="645FB7D2" w14:textId="17BDADC0" w:rsidR="00F6598D" w:rsidRPr="0036663B" w:rsidRDefault="003753EF" w:rsidP="00CB5FBE">
      <w:pPr>
        <w:pStyle w:val="ListParagraph"/>
        <w:numPr>
          <w:ilvl w:val="0"/>
          <w:numId w:val="49"/>
        </w:numPr>
        <w:ind w:left="284" w:hanging="426"/>
        <w:rPr>
          <w:rFonts w:eastAsia="Cambria"/>
        </w:rPr>
      </w:pPr>
      <w:r>
        <w:rPr>
          <w:rFonts w:eastAsia="Cambria"/>
        </w:rPr>
        <w:t>t</w:t>
      </w:r>
      <w:r w:rsidR="00F6598D" w:rsidRPr="0036663B">
        <w:rPr>
          <w:rFonts w:eastAsia="Cambria"/>
        </w:rPr>
        <w:t xml:space="preserve">ools and resources to support the application of the Supporting Employees Affected by Domestic and Family Violence Policy, including a Manager Conversations Guide </w:t>
      </w:r>
      <w:r w:rsidR="00977C2B">
        <w:rPr>
          <w:rFonts w:eastAsia="Cambria"/>
        </w:rPr>
        <w:t>and Workplace Risk Assessment</w:t>
      </w:r>
      <w:r w:rsidR="00F6598D" w:rsidRPr="0036663B">
        <w:rPr>
          <w:rFonts w:eastAsia="Cambria"/>
        </w:rPr>
        <w:t xml:space="preserve"> </w:t>
      </w:r>
    </w:p>
    <w:p w14:paraId="471BE4F5" w14:textId="624EFAE5" w:rsidR="00F6598D" w:rsidRPr="0036663B" w:rsidRDefault="003753EF" w:rsidP="00CB5FBE">
      <w:pPr>
        <w:pStyle w:val="ListParagraph"/>
        <w:numPr>
          <w:ilvl w:val="0"/>
          <w:numId w:val="49"/>
        </w:numPr>
        <w:ind w:left="284" w:hanging="426"/>
        <w:rPr>
          <w:rFonts w:eastAsia="Cambria"/>
        </w:rPr>
      </w:pPr>
      <w:r>
        <w:rPr>
          <w:rFonts w:eastAsia="Cambria"/>
        </w:rPr>
        <w:t>e</w:t>
      </w:r>
      <w:r w:rsidR="00F6598D" w:rsidRPr="0036663B">
        <w:rPr>
          <w:rFonts w:eastAsia="Cambria"/>
        </w:rPr>
        <w:t xml:space="preserve">stablishing an Employee Assistance Program telephone line for all staff to directly contact domestic and family </w:t>
      </w:r>
      <w:r w:rsidR="00977C2B">
        <w:rPr>
          <w:rFonts w:eastAsia="Cambria"/>
        </w:rPr>
        <w:t>violence specialist counsellors</w:t>
      </w:r>
    </w:p>
    <w:p w14:paraId="142B538A" w14:textId="011862B8" w:rsidR="00F6598D" w:rsidRPr="0036663B" w:rsidRDefault="003753EF" w:rsidP="00CB5FBE">
      <w:pPr>
        <w:pStyle w:val="ListParagraph"/>
        <w:numPr>
          <w:ilvl w:val="0"/>
          <w:numId w:val="49"/>
        </w:numPr>
        <w:ind w:left="284" w:hanging="426"/>
        <w:rPr>
          <w:rFonts w:eastAsia="Cambria"/>
        </w:rPr>
      </w:pPr>
      <w:r>
        <w:rPr>
          <w:rFonts w:eastAsia="Cambria"/>
        </w:rPr>
        <w:t>d</w:t>
      </w:r>
      <w:r w:rsidR="00F6598D" w:rsidRPr="0036663B">
        <w:rPr>
          <w:rFonts w:eastAsia="Cambria"/>
        </w:rPr>
        <w:t>elivery of face-to-face training to all frontline leadership and management roles, and HR roles, to build management capability in responding t</w:t>
      </w:r>
      <w:r w:rsidR="00977C2B">
        <w:rPr>
          <w:rFonts w:eastAsia="Cambria"/>
        </w:rPr>
        <w:t>o staff who are affected by DFV</w:t>
      </w:r>
    </w:p>
    <w:p w14:paraId="5D308203" w14:textId="32068488" w:rsidR="00F6598D" w:rsidRPr="0036663B" w:rsidRDefault="003753EF" w:rsidP="00CB5FBE">
      <w:pPr>
        <w:pStyle w:val="ListParagraph"/>
        <w:numPr>
          <w:ilvl w:val="0"/>
          <w:numId w:val="49"/>
        </w:numPr>
        <w:ind w:left="284" w:hanging="426"/>
        <w:rPr>
          <w:rFonts w:eastAsia="Cambria"/>
        </w:rPr>
      </w:pPr>
      <w:r>
        <w:rPr>
          <w:rFonts w:eastAsia="Cambria"/>
        </w:rPr>
        <w:t>p</w:t>
      </w:r>
      <w:r w:rsidR="00F6598D" w:rsidRPr="0036663B">
        <w:rPr>
          <w:rFonts w:eastAsia="Cambria"/>
        </w:rPr>
        <w:t>rovision of an online DFV training program</w:t>
      </w:r>
      <w:r w:rsidR="00F6598D">
        <w:rPr>
          <w:rFonts w:eastAsia="Cambria"/>
        </w:rPr>
        <w:t>—</w:t>
      </w:r>
      <w:r w:rsidR="00F6598D" w:rsidRPr="0036663B">
        <w:rPr>
          <w:rFonts w:eastAsia="Cambria"/>
        </w:rPr>
        <w:t>Recognise, Respond, Refer</w:t>
      </w:r>
      <w:r w:rsidR="00F6598D">
        <w:rPr>
          <w:rFonts w:eastAsia="Cambria"/>
        </w:rPr>
        <w:t>—</w:t>
      </w:r>
      <w:r w:rsidR="00F6598D" w:rsidRPr="0036663B">
        <w:rPr>
          <w:rFonts w:eastAsia="Cambria"/>
        </w:rPr>
        <w:t>to all employees</w:t>
      </w:r>
      <w:r w:rsidR="00F6598D">
        <w:rPr>
          <w:rFonts w:eastAsia="Cambria"/>
        </w:rPr>
        <w:t>,</w:t>
      </w:r>
      <w:r w:rsidR="00F6598D" w:rsidRPr="0036663B">
        <w:rPr>
          <w:rFonts w:eastAsia="Cambria"/>
        </w:rPr>
        <w:t xml:space="preserve"> </w:t>
      </w:r>
      <w:r w:rsidR="00F6598D">
        <w:rPr>
          <w:rFonts w:eastAsia="Cambria"/>
        </w:rPr>
        <w:t>to build</w:t>
      </w:r>
      <w:r w:rsidR="00F6598D" w:rsidRPr="0036663B">
        <w:rPr>
          <w:rFonts w:eastAsia="Cambria"/>
        </w:rPr>
        <w:t xml:space="preserve"> awareness of DFV issues.</w:t>
      </w:r>
    </w:p>
    <w:p w14:paraId="28F8A5BA" w14:textId="1F8FDEF9" w:rsidR="00F6598D" w:rsidRPr="0036663B" w:rsidRDefault="00F6598D" w:rsidP="00CB5FBE">
      <w:pPr>
        <w:ind w:left="-142"/>
        <w:rPr>
          <w:rFonts w:eastAsia="Cambria"/>
        </w:rPr>
      </w:pPr>
      <w:r w:rsidRPr="0036663B">
        <w:rPr>
          <w:rFonts w:eastAsia="Cambria"/>
        </w:rPr>
        <w:t>Staff from</w:t>
      </w:r>
      <w:r>
        <w:rPr>
          <w:rFonts w:eastAsia="Cambria"/>
        </w:rPr>
        <w:t xml:space="preserve"> the Office of the</w:t>
      </w:r>
      <w:r w:rsidRPr="0036663B">
        <w:rPr>
          <w:rFonts w:eastAsia="Cambria"/>
        </w:rPr>
        <w:t xml:space="preserve"> IGEM participated in events promoting gender equity and respectful relationships and the prevention of violence a</w:t>
      </w:r>
      <w:r w:rsidR="0007252F">
        <w:rPr>
          <w:rFonts w:eastAsia="Cambria"/>
        </w:rPr>
        <w:t>gainst women, along with other public safety p</w:t>
      </w:r>
      <w:r w:rsidRPr="0036663B">
        <w:rPr>
          <w:rFonts w:eastAsia="Cambria"/>
        </w:rPr>
        <w:t>ortfolio agencies.</w:t>
      </w:r>
      <w:r w:rsidR="003753EF">
        <w:rPr>
          <w:rFonts w:eastAsia="Cambria"/>
        </w:rPr>
        <w:t xml:space="preserve"> </w:t>
      </w:r>
      <w:r w:rsidRPr="0036663B">
        <w:rPr>
          <w:rFonts w:eastAsia="Cambria"/>
        </w:rPr>
        <w:t>Other key events</w:t>
      </w:r>
      <w:r w:rsidR="007056CF">
        <w:rPr>
          <w:rFonts w:eastAsia="Cambria"/>
        </w:rPr>
        <w:t xml:space="preserve"> Office of the</w:t>
      </w:r>
      <w:r w:rsidRPr="0036663B">
        <w:rPr>
          <w:rFonts w:eastAsia="Cambria"/>
        </w:rPr>
        <w:t xml:space="preserve"> IGEM engaged in include</w:t>
      </w:r>
      <w:r>
        <w:rPr>
          <w:rFonts w:eastAsia="Cambria"/>
        </w:rPr>
        <w:t>d</w:t>
      </w:r>
      <w:r w:rsidRPr="0036663B">
        <w:rPr>
          <w:rFonts w:eastAsia="Cambria"/>
        </w:rPr>
        <w:t xml:space="preserve"> the Premier’s White Ribbon Day celebration on 25 November 2016, and events throughout Queensland Women’s Week and Queensland’s Domestic and Family Violence Prevention Month.</w:t>
      </w:r>
    </w:p>
    <w:p w14:paraId="65FA94FA" w14:textId="050C9E0F" w:rsidR="00F6598D" w:rsidRPr="0036663B" w:rsidRDefault="00F6598D" w:rsidP="00CB5FBE">
      <w:pPr>
        <w:ind w:left="-142"/>
        <w:rPr>
          <w:rFonts w:eastAsia="Cambria"/>
        </w:rPr>
      </w:pPr>
      <w:r w:rsidRPr="0036663B">
        <w:rPr>
          <w:rFonts w:eastAsia="Cambria"/>
        </w:rPr>
        <w:t xml:space="preserve">In May 2017, a team of 61 </w:t>
      </w:r>
      <w:r w:rsidR="007056CF">
        <w:rPr>
          <w:rFonts w:eastAsia="Cambria"/>
        </w:rPr>
        <w:t xml:space="preserve">Office of the </w:t>
      </w:r>
      <w:r>
        <w:rPr>
          <w:rFonts w:eastAsia="Cambria"/>
        </w:rPr>
        <w:t>IGEM</w:t>
      </w:r>
      <w:r w:rsidRPr="0036663B">
        <w:rPr>
          <w:rFonts w:eastAsia="Cambria"/>
        </w:rPr>
        <w:t xml:space="preserve"> and </w:t>
      </w:r>
      <w:r>
        <w:rPr>
          <w:rFonts w:eastAsia="Cambria"/>
        </w:rPr>
        <w:t>PSBA</w:t>
      </w:r>
      <w:r w:rsidRPr="0036663B">
        <w:rPr>
          <w:rFonts w:eastAsia="Cambria"/>
        </w:rPr>
        <w:t xml:space="preserve"> staff participated in the Darkness to Daylight Challenge, an annual overnight 110km run which raises community awareness and support for those affected by DFV. Staff ran, walked or volunteered at the event, with members of the </w:t>
      </w:r>
      <w:r w:rsidR="00D463F2">
        <w:rPr>
          <w:rFonts w:eastAsia="Cambria"/>
        </w:rPr>
        <w:t xml:space="preserve">EMC </w:t>
      </w:r>
      <w:r w:rsidRPr="0036663B">
        <w:rPr>
          <w:rFonts w:eastAsia="Cambria"/>
        </w:rPr>
        <w:t>also attending a Candlelight Vigil on the night of the event to remember those lost to DFV in the past year.</w:t>
      </w:r>
    </w:p>
    <w:p w14:paraId="593234CD" w14:textId="70BA427E" w:rsidR="00F6598D" w:rsidRPr="0036663B" w:rsidRDefault="00F6598D" w:rsidP="00CB5FBE">
      <w:pPr>
        <w:ind w:left="-142"/>
        <w:rPr>
          <w:rFonts w:eastAsia="Cambria"/>
        </w:rPr>
      </w:pPr>
      <w:r>
        <w:rPr>
          <w:rFonts w:eastAsia="Cambria"/>
        </w:rPr>
        <w:t xml:space="preserve">The Office of the </w:t>
      </w:r>
      <w:r w:rsidRPr="0036663B">
        <w:rPr>
          <w:rFonts w:eastAsia="Cambria"/>
        </w:rPr>
        <w:t>IGEM and</w:t>
      </w:r>
      <w:r w:rsidR="0007252F">
        <w:rPr>
          <w:rFonts w:eastAsia="Cambria"/>
        </w:rPr>
        <w:t xml:space="preserve"> PSBA also held a White Ribbon e</w:t>
      </w:r>
      <w:r w:rsidRPr="0036663B">
        <w:rPr>
          <w:rFonts w:eastAsia="Cambria"/>
        </w:rPr>
        <w:t xml:space="preserve">vent in May 2017 to raise staff awareness of DFV and </w:t>
      </w:r>
      <w:r w:rsidR="0007252F">
        <w:rPr>
          <w:rFonts w:eastAsia="Cambria"/>
        </w:rPr>
        <w:t>formally sign the White Ribbon o</w:t>
      </w:r>
      <w:r w:rsidRPr="0036663B">
        <w:rPr>
          <w:rFonts w:eastAsia="Cambria"/>
        </w:rPr>
        <w:t>ath. This event featured speakers Jacque Lachmund, C</w:t>
      </w:r>
      <w:r w:rsidR="0007252F">
        <w:rPr>
          <w:rFonts w:eastAsia="Cambria"/>
        </w:rPr>
        <w:t xml:space="preserve">hief </w:t>
      </w:r>
      <w:r w:rsidRPr="0036663B">
        <w:rPr>
          <w:rFonts w:eastAsia="Cambria"/>
        </w:rPr>
        <w:t>E</w:t>
      </w:r>
      <w:r w:rsidR="0007252F">
        <w:rPr>
          <w:rFonts w:eastAsia="Cambria"/>
        </w:rPr>
        <w:t xml:space="preserve">xecutive </w:t>
      </w:r>
      <w:r w:rsidRPr="0036663B">
        <w:rPr>
          <w:rFonts w:eastAsia="Cambria"/>
        </w:rPr>
        <w:t>O</w:t>
      </w:r>
      <w:r w:rsidR="0007252F">
        <w:rPr>
          <w:rFonts w:eastAsia="Cambria"/>
        </w:rPr>
        <w:t>fficer (CEO)</w:t>
      </w:r>
      <w:r w:rsidRPr="0036663B">
        <w:rPr>
          <w:rFonts w:eastAsia="Cambria"/>
        </w:rPr>
        <w:t xml:space="preserve"> of Australia’s CEO Challenge, Inspector Regan Carr, Manager of the </w:t>
      </w:r>
      <w:r w:rsidR="0007252F">
        <w:rPr>
          <w:rFonts w:eastAsia="Cambria"/>
        </w:rPr>
        <w:t>QPS</w:t>
      </w:r>
      <w:r w:rsidRPr="0036663B">
        <w:rPr>
          <w:rFonts w:eastAsia="Cambria"/>
        </w:rPr>
        <w:t xml:space="preserve"> Domestic and Family Violence and Vulnerable Persons Unit, and Nicolle Edmonds, CEO of Rizeup. Th</w:t>
      </w:r>
      <w:r>
        <w:rPr>
          <w:rFonts w:eastAsia="Cambria"/>
        </w:rPr>
        <w:t>e</w:t>
      </w:r>
      <w:r w:rsidRPr="0036663B">
        <w:rPr>
          <w:rFonts w:eastAsia="Cambria"/>
        </w:rPr>
        <w:t xml:space="preserve"> event was attended by some 95 staff,</w:t>
      </w:r>
      <w:r>
        <w:rPr>
          <w:rFonts w:eastAsia="Cambria"/>
        </w:rPr>
        <w:t xml:space="preserve"> </w:t>
      </w:r>
      <w:r w:rsidR="00B4291C">
        <w:rPr>
          <w:rFonts w:eastAsia="Cambria"/>
        </w:rPr>
        <w:t xml:space="preserve">the </w:t>
      </w:r>
      <w:r>
        <w:rPr>
          <w:rFonts w:eastAsia="Cambria"/>
        </w:rPr>
        <w:t>Office of the</w:t>
      </w:r>
      <w:r w:rsidRPr="0036663B">
        <w:rPr>
          <w:rFonts w:eastAsia="Cambria"/>
        </w:rPr>
        <w:t xml:space="preserve"> </w:t>
      </w:r>
      <w:r>
        <w:rPr>
          <w:rFonts w:eastAsia="Cambria"/>
        </w:rPr>
        <w:t>IGEM</w:t>
      </w:r>
      <w:r w:rsidRPr="0036663B">
        <w:rPr>
          <w:rFonts w:eastAsia="Cambria"/>
        </w:rPr>
        <w:t xml:space="preserve"> and </w:t>
      </w:r>
      <w:r>
        <w:rPr>
          <w:rFonts w:eastAsia="Cambria"/>
        </w:rPr>
        <w:t>PSBA</w:t>
      </w:r>
      <w:r w:rsidR="0007252F">
        <w:rPr>
          <w:rFonts w:eastAsia="Cambria"/>
        </w:rPr>
        <w:t xml:space="preserve"> executive l</w:t>
      </w:r>
      <w:r w:rsidRPr="0036663B">
        <w:rPr>
          <w:rFonts w:eastAsia="Cambria"/>
        </w:rPr>
        <w:t>eadership teams and the PSBA Board of Management. All staff at the event were also in</w:t>
      </w:r>
      <w:r w:rsidR="0007252F">
        <w:rPr>
          <w:rFonts w:eastAsia="Cambria"/>
        </w:rPr>
        <w:t>vited to sign the White Ribbon o</w:t>
      </w:r>
      <w:r w:rsidRPr="0036663B">
        <w:rPr>
          <w:rFonts w:eastAsia="Cambria"/>
        </w:rPr>
        <w:t>ath.</w:t>
      </w:r>
    </w:p>
    <w:p w14:paraId="76209195" w14:textId="77777777" w:rsidR="00F6598D" w:rsidRDefault="00F6598D" w:rsidP="00CB5FBE">
      <w:pPr>
        <w:spacing w:after="240"/>
        <w:ind w:left="-142"/>
        <w:rPr>
          <w:rFonts w:eastAsia="Cambria"/>
          <w:b/>
        </w:rPr>
      </w:pPr>
      <w:r w:rsidRPr="0036663B">
        <w:rPr>
          <w:rFonts w:eastAsia="Cambria"/>
        </w:rPr>
        <w:t>Further events, initiatives and capability development activities wi</w:t>
      </w:r>
      <w:r>
        <w:rPr>
          <w:rFonts w:eastAsia="Cambria"/>
        </w:rPr>
        <w:t>ll be scheduled throughout 2017–</w:t>
      </w:r>
      <w:r w:rsidRPr="0036663B">
        <w:rPr>
          <w:rFonts w:eastAsia="Cambria"/>
        </w:rPr>
        <w:t>18 to progress and build on our supportive and respectful workplace culture, including the promotion of flexible work practices and building a diverse and inclusive workforce.</w:t>
      </w:r>
    </w:p>
    <w:p w14:paraId="45E45E63" w14:textId="32E393C7" w:rsidR="00F6598D" w:rsidRPr="00F6598D" w:rsidRDefault="00F6598D" w:rsidP="00913AA5">
      <w:pPr>
        <w:spacing w:before="240"/>
        <w:ind w:left="-142"/>
        <w:rPr>
          <w:rFonts w:eastAsia="Cambria"/>
          <w:b/>
          <w:sz w:val="28"/>
          <w:szCs w:val="28"/>
        </w:rPr>
      </w:pPr>
      <w:r w:rsidRPr="0036663B">
        <w:rPr>
          <w:rFonts w:eastAsia="Cambria"/>
          <w:b/>
          <w:sz w:val="28"/>
          <w:szCs w:val="28"/>
        </w:rPr>
        <w:t xml:space="preserve">Employee assistance </w:t>
      </w:r>
    </w:p>
    <w:p w14:paraId="6505D581" w14:textId="77777777" w:rsidR="00F6598D" w:rsidRPr="003C4821" w:rsidRDefault="00F6598D" w:rsidP="00CB5FBE">
      <w:pPr>
        <w:autoSpaceDE w:val="0"/>
        <w:autoSpaceDN w:val="0"/>
        <w:adjustRightInd w:val="0"/>
        <w:ind w:left="-142"/>
        <w:rPr>
          <w:rFonts w:eastAsia="Arial"/>
        </w:rPr>
      </w:pPr>
      <w:r>
        <w:rPr>
          <w:rFonts w:eastAsia="Arial"/>
        </w:rPr>
        <w:t xml:space="preserve">The Office of the IGEM’s </w:t>
      </w:r>
      <w:r w:rsidRPr="0036663B">
        <w:rPr>
          <w:rFonts w:eastAsia="Arial"/>
        </w:rPr>
        <w:t>Employee Assistance Service</w:t>
      </w:r>
      <w:r>
        <w:rPr>
          <w:rFonts w:eastAsia="Arial"/>
        </w:rPr>
        <w:t xml:space="preserve"> is </w:t>
      </w:r>
      <w:r w:rsidRPr="0036663B">
        <w:rPr>
          <w:rFonts w:eastAsia="Arial"/>
        </w:rPr>
        <w:t xml:space="preserve">managed by PSBA </w:t>
      </w:r>
      <w:r>
        <w:rPr>
          <w:rFonts w:eastAsia="Arial"/>
        </w:rPr>
        <w:t xml:space="preserve">and </w:t>
      </w:r>
      <w:r w:rsidRPr="0036663B">
        <w:rPr>
          <w:rFonts w:eastAsia="Arial"/>
        </w:rPr>
        <w:t xml:space="preserve">ensures </w:t>
      </w:r>
      <w:r w:rsidRPr="003C4821">
        <w:rPr>
          <w:rFonts w:eastAsia="Arial"/>
        </w:rPr>
        <w:t>all employees and their immediate family members have access to a professional, independent and confidential counselling service through the Employee Assistance Program.   </w:t>
      </w:r>
    </w:p>
    <w:p w14:paraId="2BDC9207" w14:textId="522EE693" w:rsidR="00F6598D" w:rsidRPr="00720784" w:rsidRDefault="00F6598D" w:rsidP="00CB5FBE">
      <w:pPr>
        <w:autoSpaceDE w:val="0"/>
        <w:autoSpaceDN w:val="0"/>
        <w:adjustRightInd w:val="0"/>
        <w:ind w:left="-142"/>
        <w:rPr>
          <w:rFonts w:eastAsia="Arial"/>
        </w:rPr>
      </w:pPr>
      <w:r w:rsidRPr="00720784">
        <w:rPr>
          <w:rFonts w:eastAsia="Arial"/>
        </w:rPr>
        <w:t>The service provides confidential counselling, coaching and support for employees on a broad range of work and life issues. These can include</w:t>
      </w:r>
      <w:r w:rsidR="00977C2B">
        <w:rPr>
          <w:rFonts w:eastAsia="Arial"/>
        </w:rPr>
        <w:t>,</w:t>
      </w:r>
      <w:r w:rsidRPr="00720784">
        <w:rPr>
          <w:rFonts w:eastAsia="Arial"/>
        </w:rPr>
        <w:t xml:space="preserve"> but are not limited to</w:t>
      </w:r>
      <w:r w:rsidR="00977C2B">
        <w:rPr>
          <w:rFonts w:eastAsia="Arial"/>
        </w:rPr>
        <w:t>,</w:t>
      </w:r>
      <w:r w:rsidRPr="00720784">
        <w:rPr>
          <w:rFonts w:eastAsia="Arial"/>
        </w:rPr>
        <w:t xml:space="preserve"> work related and/or personal issues around relationship difficulties, family, conflict, drug and alcohol use, stress, communication, grief and loss, interpersonal relationships, </w:t>
      </w:r>
      <w:r w:rsidR="0007252F">
        <w:rPr>
          <w:rFonts w:eastAsia="Arial"/>
        </w:rPr>
        <w:t xml:space="preserve">DFV </w:t>
      </w:r>
      <w:r w:rsidRPr="00720784">
        <w:rPr>
          <w:rFonts w:eastAsia="Arial"/>
        </w:rPr>
        <w:t xml:space="preserve">and trauma management.  </w:t>
      </w:r>
    </w:p>
    <w:p w14:paraId="47DADA0E" w14:textId="77777777" w:rsidR="00F6598D" w:rsidRDefault="00F6598D" w:rsidP="00CB5FBE">
      <w:pPr>
        <w:autoSpaceDE w:val="0"/>
        <w:autoSpaceDN w:val="0"/>
        <w:adjustRightInd w:val="0"/>
        <w:spacing w:after="240"/>
        <w:ind w:left="-142"/>
        <w:rPr>
          <w:rFonts w:eastAsia="Cambria"/>
          <w:b/>
        </w:rPr>
      </w:pPr>
      <w:r w:rsidRPr="00720784">
        <w:rPr>
          <w:rFonts w:eastAsia="Arial"/>
        </w:rPr>
        <w:t>The counsellors are trained psychologists and social workers who have extensive experience in dealing with issues in a sensitive and suppor</w:t>
      </w:r>
      <w:r>
        <w:rPr>
          <w:rFonts w:eastAsia="Arial"/>
        </w:rPr>
        <w:t>tive manner and provide a short-term, solution-</w:t>
      </w:r>
      <w:r w:rsidRPr="00720784">
        <w:rPr>
          <w:rFonts w:eastAsia="Arial"/>
        </w:rPr>
        <w:t>focused approach to assist employees to enhance their emotional, physical and financial wellbeing.</w:t>
      </w:r>
    </w:p>
    <w:p w14:paraId="381FFA9A" w14:textId="77777777" w:rsidR="0007252F" w:rsidRDefault="0007252F">
      <w:pPr>
        <w:rPr>
          <w:rFonts w:eastAsia="Cambria"/>
          <w:b/>
          <w:sz w:val="28"/>
          <w:szCs w:val="28"/>
        </w:rPr>
      </w:pPr>
      <w:r>
        <w:rPr>
          <w:rFonts w:eastAsia="Cambria"/>
          <w:b/>
          <w:sz w:val="28"/>
          <w:szCs w:val="28"/>
        </w:rPr>
        <w:br w:type="page"/>
      </w:r>
    </w:p>
    <w:p w14:paraId="31EC17D0" w14:textId="6D24CED7" w:rsidR="00F6598D" w:rsidRPr="0036663B" w:rsidRDefault="00F6598D" w:rsidP="00913AA5">
      <w:pPr>
        <w:spacing w:before="240"/>
        <w:ind w:left="-142"/>
        <w:rPr>
          <w:rFonts w:eastAsia="Cambria"/>
          <w:b/>
          <w:sz w:val="28"/>
          <w:szCs w:val="28"/>
        </w:rPr>
      </w:pPr>
      <w:r w:rsidRPr="0036663B">
        <w:rPr>
          <w:rFonts w:eastAsia="Cambria"/>
          <w:b/>
          <w:sz w:val="28"/>
          <w:szCs w:val="28"/>
        </w:rPr>
        <w:lastRenderedPageBreak/>
        <w:t xml:space="preserve">Health and wellbeing </w:t>
      </w:r>
    </w:p>
    <w:p w14:paraId="495A6067" w14:textId="4BE05765" w:rsidR="00F6598D" w:rsidRDefault="00D463F2" w:rsidP="00CB5FBE">
      <w:pPr>
        <w:autoSpaceDE w:val="0"/>
        <w:autoSpaceDN w:val="0"/>
        <w:adjustRightInd w:val="0"/>
        <w:ind w:left="-142"/>
        <w:rPr>
          <w:rFonts w:eastAsia="Arial"/>
        </w:rPr>
      </w:pPr>
      <w:r>
        <w:rPr>
          <w:rFonts w:eastAsia="Arial"/>
        </w:rPr>
        <w:t xml:space="preserve">The PSBA Safety and Wellbeing Branch </w:t>
      </w:r>
      <w:r w:rsidR="00F6598D" w:rsidRPr="0036663B">
        <w:rPr>
          <w:rFonts w:eastAsia="Arial"/>
        </w:rPr>
        <w:t>continued to</w:t>
      </w:r>
      <w:r w:rsidR="00F6598D">
        <w:rPr>
          <w:rFonts w:eastAsia="Arial"/>
        </w:rPr>
        <w:t xml:space="preserve"> assist the Office of the IGEM in </w:t>
      </w:r>
      <w:r w:rsidR="00F6598D" w:rsidRPr="003C4821">
        <w:rPr>
          <w:rFonts w:eastAsia="Arial"/>
          <w:lang w:val="en"/>
        </w:rPr>
        <w:t>foster</w:t>
      </w:r>
      <w:r w:rsidR="00F6598D">
        <w:rPr>
          <w:rFonts w:eastAsia="Arial"/>
          <w:lang w:val="en"/>
        </w:rPr>
        <w:t xml:space="preserve">ing </w:t>
      </w:r>
      <w:r w:rsidR="00F6598D" w:rsidRPr="0035779D">
        <w:rPr>
          <w:rFonts w:eastAsia="Arial"/>
          <w:lang w:val="en"/>
        </w:rPr>
        <w:t xml:space="preserve">a supportive working environment which </w:t>
      </w:r>
      <w:r w:rsidR="00F6598D">
        <w:rPr>
          <w:rFonts w:eastAsia="Arial"/>
          <w:lang w:val="en"/>
        </w:rPr>
        <w:t xml:space="preserve">promotes </w:t>
      </w:r>
      <w:r w:rsidR="00F6598D" w:rsidRPr="0035779D">
        <w:rPr>
          <w:rFonts w:eastAsia="Arial"/>
          <w:lang w:val="en"/>
        </w:rPr>
        <w:t>health and wellbeing</w:t>
      </w:r>
      <w:r w:rsidR="00F6598D">
        <w:rPr>
          <w:rFonts w:eastAsia="Arial"/>
          <w:lang w:val="en"/>
        </w:rPr>
        <w:t xml:space="preserve"> in the workplace</w:t>
      </w:r>
      <w:r w:rsidR="00F6598D" w:rsidRPr="0035779D">
        <w:rPr>
          <w:rFonts w:eastAsia="Arial"/>
          <w:lang w:val="en"/>
        </w:rPr>
        <w:t xml:space="preserve">. </w:t>
      </w:r>
      <w:r w:rsidR="00B4291C">
        <w:rPr>
          <w:rFonts w:eastAsia="Arial"/>
          <w:lang w:val="en"/>
        </w:rPr>
        <w:t>O</w:t>
      </w:r>
      <w:r w:rsidR="00F6598D">
        <w:rPr>
          <w:rFonts w:eastAsia="Arial"/>
          <w:lang w:val="en"/>
        </w:rPr>
        <w:t xml:space="preserve">ffice of the IGEM employees have access to a </w:t>
      </w:r>
      <w:r w:rsidR="00F6598D" w:rsidRPr="0035779D">
        <w:rPr>
          <w:rFonts w:eastAsia="Arial"/>
        </w:rPr>
        <w:t xml:space="preserve">Safety, Wellness, Health and Fitness </w:t>
      </w:r>
      <w:r w:rsidR="00F6598D">
        <w:rPr>
          <w:rFonts w:eastAsia="Arial"/>
        </w:rPr>
        <w:t xml:space="preserve">intranet </w:t>
      </w:r>
      <w:r w:rsidR="00F6598D" w:rsidRPr="0035779D">
        <w:rPr>
          <w:rFonts w:eastAsia="Arial"/>
        </w:rPr>
        <w:t xml:space="preserve">site </w:t>
      </w:r>
      <w:r w:rsidR="00F6598D">
        <w:rPr>
          <w:rFonts w:eastAsia="Arial"/>
        </w:rPr>
        <w:t xml:space="preserve">which provides </w:t>
      </w:r>
      <w:r w:rsidR="00F6598D" w:rsidRPr="0035779D">
        <w:rPr>
          <w:rFonts w:eastAsia="Arial"/>
        </w:rPr>
        <w:t xml:space="preserve">useful information </w:t>
      </w:r>
      <w:r w:rsidR="00F6598D">
        <w:rPr>
          <w:rFonts w:eastAsia="Arial"/>
        </w:rPr>
        <w:t xml:space="preserve">on </w:t>
      </w:r>
      <w:r w:rsidR="00F6598D" w:rsidRPr="0035779D">
        <w:rPr>
          <w:rFonts w:eastAsia="Arial"/>
        </w:rPr>
        <w:t>wellbeing, health and fitness</w:t>
      </w:r>
      <w:r w:rsidR="00F6598D">
        <w:rPr>
          <w:rFonts w:eastAsia="Arial"/>
        </w:rPr>
        <w:t xml:space="preserve"> topics to support and enhance employees’ emotional and physical wellbeing.</w:t>
      </w:r>
    </w:p>
    <w:p w14:paraId="2B312117" w14:textId="78858BFE" w:rsidR="00F6598D" w:rsidRDefault="00F6598D" w:rsidP="00CB5FBE">
      <w:pPr>
        <w:autoSpaceDE w:val="0"/>
        <w:autoSpaceDN w:val="0"/>
        <w:adjustRightInd w:val="0"/>
        <w:spacing w:after="240"/>
        <w:ind w:left="-142"/>
        <w:rPr>
          <w:rFonts w:eastAsia="Cambria"/>
          <w:b/>
        </w:rPr>
      </w:pPr>
      <w:r>
        <w:rPr>
          <w:rFonts w:eastAsia="Arial"/>
        </w:rPr>
        <w:t xml:space="preserve">A </w:t>
      </w:r>
      <w:r w:rsidRPr="0037614B">
        <w:rPr>
          <w:rFonts w:eastAsia="Arial"/>
        </w:rPr>
        <w:t>Health and Wellbeing Education and Awareness Plan</w:t>
      </w:r>
      <w:r>
        <w:rPr>
          <w:rFonts w:eastAsia="Arial"/>
        </w:rPr>
        <w:t xml:space="preserve"> was developed in consultation with the Office of the IGEM’s and PSBA’s Employee Assistance Program service provider. The Plan contributes directly to supporting the health and wellbeing of Office of the IGEM employees by promoting </w:t>
      </w:r>
      <w:r w:rsidRPr="00AC4392">
        <w:rPr>
          <w:rFonts w:eastAsia="Arial"/>
        </w:rPr>
        <w:t xml:space="preserve">a number of </w:t>
      </w:r>
      <w:r>
        <w:rPr>
          <w:rFonts w:eastAsia="Arial"/>
        </w:rPr>
        <w:t xml:space="preserve">services, </w:t>
      </w:r>
      <w:r w:rsidRPr="00AC4392">
        <w:rPr>
          <w:rFonts w:eastAsia="Arial"/>
        </w:rPr>
        <w:t xml:space="preserve">proactive articles and </w:t>
      </w:r>
      <w:r>
        <w:rPr>
          <w:rFonts w:eastAsia="Arial"/>
        </w:rPr>
        <w:t xml:space="preserve">staff </w:t>
      </w:r>
      <w:r w:rsidRPr="00AC4392">
        <w:rPr>
          <w:rFonts w:eastAsia="Arial"/>
        </w:rPr>
        <w:t xml:space="preserve">communiqués </w:t>
      </w:r>
      <w:r>
        <w:rPr>
          <w:rFonts w:eastAsia="Arial"/>
        </w:rPr>
        <w:t>on</w:t>
      </w:r>
      <w:r w:rsidRPr="00AC4392">
        <w:rPr>
          <w:rFonts w:eastAsia="Arial"/>
        </w:rPr>
        <w:t xml:space="preserve"> relevant and topical </w:t>
      </w:r>
      <w:r>
        <w:rPr>
          <w:rFonts w:eastAsia="Arial"/>
        </w:rPr>
        <w:t xml:space="preserve">health and wellbeing issues—such as nutrition and diet, </w:t>
      </w:r>
      <w:r w:rsidR="005F50D1">
        <w:rPr>
          <w:rFonts w:eastAsia="Arial"/>
        </w:rPr>
        <w:t>D</w:t>
      </w:r>
      <w:r w:rsidR="0007252F">
        <w:rPr>
          <w:rFonts w:eastAsia="Arial"/>
        </w:rPr>
        <w:t>FV</w:t>
      </w:r>
      <w:r>
        <w:rPr>
          <w:rFonts w:eastAsia="Arial"/>
        </w:rPr>
        <w:t xml:space="preserve"> awareness, financial fitness, physiological wellbeing and relationships.</w:t>
      </w:r>
    </w:p>
    <w:p w14:paraId="16CF48BF" w14:textId="77777777" w:rsidR="00F6598D" w:rsidRPr="0036663B" w:rsidRDefault="00F6598D" w:rsidP="00913AA5">
      <w:pPr>
        <w:spacing w:before="240"/>
        <w:ind w:left="-142"/>
        <w:rPr>
          <w:rFonts w:eastAsia="Cambria"/>
          <w:b/>
          <w:sz w:val="28"/>
          <w:szCs w:val="28"/>
        </w:rPr>
      </w:pPr>
      <w:r w:rsidRPr="0036663B">
        <w:rPr>
          <w:rFonts w:eastAsia="Cambria"/>
          <w:b/>
          <w:sz w:val="28"/>
          <w:szCs w:val="28"/>
        </w:rPr>
        <w:t xml:space="preserve">Working for Queensland Employee Opinion Survey  </w:t>
      </w:r>
    </w:p>
    <w:p w14:paraId="2926959D" w14:textId="5D87CED0" w:rsidR="00F6598D" w:rsidRPr="00683319" w:rsidRDefault="00F6598D" w:rsidP="00CB5FBE">
      <w:pPr>
        <w:autoSpaceDE w:val="0"/>
        <w:autoSpaceDN w:val="0"/>
        <w:adjustRightInd w:val="0"/>
        <w:ind w:left="-142"/>
        <w:rPr>
          <w:rFonts w:eastAsia="Cambria"/>
        </w:rPr>
      </w:pPr>
      <w:r w:rsidRPr="00C973EA">
        <w:rPr>
          <w:rFonts w:eastAsia="Cambria"/>
        </w:rPr>
        <w:t xml:space="preserve">The annual </w:t>
      </w:r>
      <w:r w:rsidRPr="00977C2B">
        <w:rPr>
          <w:rFonts w:eastAsia="Cambria"/>
          <w:iCs/>
        </w:rPr>
        <w:t>Working for Queensland Employee Opinion Survey</w:t>
      </w:r>
      <w:r w:rsidRPr="00C973EA">
        <w:rPr>
          <w:rFonts w:eastAsia="Cambria"/>
        </w:rPr>
        <w:t xml:space="preserve"> measures workplace climate</w:t>
      </w:r>
      <w:r w:rsidR="003753EF">
        <w:rPr>
          <w:rFonts w:eastAsia="Cambria"/>
        </w:rPr>
        <w:t>.  It</w:t>
      </w:r>
      <w:r w:rsidRPr="00C973EA">
        <w:rPr>
          <w:rFonts w:eastAsia="Cambria"/>
        </w:rPr>
        <w:t xml:space="preserve"> provide</w:t>
      </w:r>
      <w:r w:rsidR="003753EF">
        <w:rPr>
          <w:rFonts w:eastAsia="Cambria"/>
        </w:rPr>
        <w:t>s</w:t>
      </w:r>
      <w:r w:rsidRPr="00C973EA">
        <w:rPr>
          <w:rFonts w:eastAsia="Cambria"/>
        </w:rPr>
        <w:t xml:space="preserve"> insight into </w:t>
      </w:r>
      <w:r w:rsidR="0007252F">
        <w:rPr>
          <w:rFonts w:eastAsia="Cambria"/>
        </w:rPr>
        <w:t>the O</w:t>
      </w:r>
      <w:r w:rsidR="003753EF">
        <w:rPr>
          <w:rFonts w:eastAsia="Cambria"/>
        </w:rPr>
        <w:t>ffice of the IGEM</w:t>
      </w:r>
      <w:r w:rsidRPr="00C973EA">
        <w:rPr>
          <w:rFonts w:eastAsia="Cambria"/>
        </w:rPr>
        <w:t xml:space="preserve"> workforce </w:t>
      </w:r>
      <w:r w:rsidR="003753EF">
        <w:rPr>
          <w:rFonts w:eastAsia="Cambria"/>
        </w:rPr>
        <w:t>and is a key source of information to drive workplace improvement</w:t>
      </w:r>
      <w:r w:rsidR="00D463F2">
        <w:rPr>
          <w:rFonts w:eastAsia="Cambria"/>
        </w:rPr>
        <w:t>s</w:t>
      </w:r>
      <w:r w:rsidR="003753EF">
        <w:rPr>
          <w:rFonts w:eastAsia="Cambria"/>
        </w:rPr>
        <w:t xml:space="preserve"> </w:t>
      </w:r>
      <w:r w:rsidR="00D463F2">
        <w:rPr>
          <w:rFonts w:eastAsia="Cambria"/>
        </w:rPr>
        <w:t>that are</w:t>
      </w:r>
      <w:r w:rsidRPr="00C973EA">
        <w:rPr>
          <w:rFonts w:eastAsia="Cambria"/>
        </w:rPr>
        <w:t xml:space="preserve"> </w:t>
      </w:r>
      <w:r w:rsidR="0007252F">
        <w:rPr>
          <w:rFonts w:eastAsia="Cambria"/>
        </w:rPr>
        <w:t>important</w:t>
      </w:r>
      <w:r w:rsidR="003753EF">
        <w:rPr>
          <w:rFonts w:eastAsia="Cambria"/>
        </w:rPr>
        <w:t xml:space="preserve"> to employees</w:t>
      </w:r>
      <w:r w:rsidRPr="00C973EA">
        <w:rPr>
          <w:rFonts w:eastAsia="Cambria"/>
        </w:rPr>
        <w:t xml:space="preserve">. </w:t>
      </w:r>
    </w:p>
    <w:p w14:paraId="7F806B1F" w14:textId="69635B02" w:rsidR="0007252F" w:rsidRDefault="003753EF" w:rsidP="00CB5FBE">
      <w:pPr>
        <w:autoSpaceDE w:val="0"/>
        <w:autoSpaceDN w:val="0"/>
        <w:adjustRightInd w:val="0"/>
        <w:spacing w:after="240"/>
        <w:ind w:left="-142"/>
        <w:rPr>
          <w:rFonts w:eastAsia="Cambria"/>
        </w:rPr>
      </w:pPr>
      <w:r>
        <w:rPr>
          <w:rFonts w:eastAsia="Cambria"/>
        </w:rPr>
        <w:t>In partnership with the Public Service Commission, a pulse survey was conducted of all Office of the IGEM staff</w:t>
      </w:r>
      <w:r w:rsidR="00D463F2">
        <w:rPr>
          <w:rFonts w:eastAsia="Cambria"/>
        </w:rPr>
        <w:t xml:space="preserve"> in February 2017 (refer page 28</w:t>
      </w:r>
      <w:r>
        <w:rPr>
          <w:rFonts w:eastAsia="Cambria"/>
        </w:rPr>
        <w:t xml:space="preserve">).  This survey was informed by the Working for Queensland Employee Opinion Survey.  </w:t>
      </w:r>
    </w:p>
    <w:p w14:paraId="484673CA" w14:textId="23A747ED" w:rsidR="00F6598D" w:rsidRPr="00683319" w:rsidRDefault="00F6598D" w:rsidP="00CB5FBE">
      <w:pPr>
        <w:autoSpaceDE w:val="0"/>
        <w:autoSpaceDN w:val="0"/>
        <w:adjustRightInd w:val="0"/>
        <w:spacing w:after="240"/>
        <w:ind w:left="-142"/>
        <w:rPr>
          <w:rFonts w:eastAsia="Cambria"/>
        </w:rPr>
      </w:pPr>
      <w:r w:rsidRPr="00683319">
        <w:rPr>
          <w:rFonts w:eastAsia="Cambria"/>
        </w:rPr>
        <w:t xml:space="preserve">The 2017 Working for Queensland survey process </w:t>
      </w:r>
      <w:r>
        <w:rPr>
          <w:rFonts w:eastAsia="Cambria"/>
        </w:rPr>
        <w:t>will be</w:t>
      </w:r>
      <w:r w:rsidRPr="00683319">
        <w:rPr>
          <w:rFonts w:eastAsia="Cambria"/>
        </w:rPr>
        <w:t xml:space="preserve"> undertaken </w:t>
      </w:r>
      <w:r w:rsidR="0007252F">
        <w:rPr>
          <w:rFonts w:eastAsia="Cambria"/>
        </w:rPr>
        <w:t>between</w:t>
      </w:r>
      <w:r w:rsidRPr="00683319">
        <w:rPr>
          <w:rFonts w:eastAsia="Cambria"/>
        </w:rPr>
        <w:t xml:space="preserve"> July and August</w:t>
      </w:r>
      <w:r>
        <w:rPr>
          <w:rFonts w:eastAsia="Cambria"/>
        </w:rPr>
        <w:t>. Survey results wi</w:t>
      </w:r>
      <w:r w:rsidRPr="00683319">
        <w:rPr>
          <w:rFonts w:eastAsia="Cambria"/>
        </w:rPr>
        <w:t xml:space="preserve">ll be an important indicator for how </w:t>
      </w:r>
      <w:r>
        <w:rPr>
          <w:rFonts w:eastAsia="Cambria"/>
        </w:rPr>
        <w:t>to</w:t>
      </w:r>
      <w:r w:rsidRPr="00683319">
        <w:rPr>
          <w:rFonts w:eastAsia="Cambria"/>
        </w:rPr>
        <w:t xml:space="preserve"> bring about </w:t>
      </w:r>
      <w:r w:rsidR="003753EF">
        <w:rPr>
          <w:rFonts w:eastAsia="Cambria"/>
        </w:rPr>
        <w:t xml:space="preserve">further </w:t>
      </w:r>
      <w:r w:rsidRPr="00683319">
        <w:rPr>
          <w:rFonts w:eastAsia="Cambria"/>
        </w:rPr>
        <w:t xml:space="preserve">positive change to </w:t>
      </w:r>
      <w:r>
        <w:rPr>
          <w:rFonts w:eastAsia="Cambria"/>
        </w:rPr>
        <w:t>the Office of the IGEM</w:t>
      </w:r>
      <w:r w:rsidRPr="00683319">
        <w:rPr>
          <w:rFonts w:eastAsia="Cambria"/>
        </w:rPr>
        <w:t>.</w:t>
      </w:r>
    </w:p>
    <w:p w14:paraId="7499DEDA" w14:textId="77777777" w:rsidR="00F6598D" w:rsidRPr="0036663B" w:rsidRDefault="00F6598D" w:rsidP="00913AA5">
      <w:pPr>
        <w:spacing w:before="240"/>
        <w:ind w:left="-142"/>
        <w:rPr>
          <w:rFonts w:eastAsia="Cambria"/>
          <w:b/>
          <w:sz w:val="28"/>
          <w:szCs w:val="28"/>
        </w:rPr>
      </w:pPr>
      <w:r w:rsidRPr="0036663B">
        <w:rPr>
          <w:rFonts w:eastAsia="Cambria"/>
          <w:b/>
          <w:sz w:val="28"/>
          <w:szCs w:val="28"/>
        </w:rPr>
        <w:t xml:space="preserve">Workplace health and safety </w:t>
      </w:r>
    </w:p>
    <w:p w14:paraId="4E074D33" w14:textId="2DDDF953" w:rsidR="00F6598D" w:rsidRPr="00C973EA" w:rsidRDefault="00F6598D" w:rsidP="00CB5FBE">
      <w:pPr>
        <w:autoSpaceDE w:val="0"/>
        <w:autoSpaceDN w:val="0"/>
        <w:adjustRightInd w:val="0"/>
        <w:ind w:left="-142"/>
        <w:rPr>
          <w:rFonts w:eastAsia="Cambria"/>
        </w:rPr>
      </w:pPr>
      <w:r w:rsidRPr="00C973EA">
        <w:rPr>
          <w:rFonts w:eastAsia="Cambria"/>
        </w:rPr>
        <w:t>Workplace health and safety is a key priority for</w:t>
      </w:r>
      <w:r>
        <w:rPr>
          <w:rFonts w:eastAsia="Cambria"/>
        </w:rPr>
        <w:t xml:space="preserve"> the Office of the</w:t>
      </w:r>
      <w:r w:rsidRPr="00C973EA">
        <w:rPr>
          <w:rFonts w:eastAsia="Cambria"/>
        </w:rPr>
        <w:t xml:space="preserve"> IGEM. Work has been undertaken to realign and enhance the workplace health and safety framework and governance arrangements</w:t>
      </w:r>
      <w:r w:rsidR="00B4291C">
        <w:rPr>
          <w:rFonts w:eastAsia="Cambria"/>
        </w:rPr>
        <w:t xml:space="preserve"> for the Office of the IGEM</w:t>
      </w:r>
      <w:r w:rsidR="00D463F2">
        <w:rPr>
          <w:rFonts w:eastAsia="Cambria"/>
        </w:rPr>
        <w:t>. This includes E</w:t>
      </w:r>
      <w:r w:rsidRPr="00C973EA">
        <w:rPr>
          <w:rFonts w:eastAsia="Cambria"/>
        </w:rPr>
        <w:t xml:space="preserve">mployee </w:t>
      </w:r>
      <w:r w:rsidR="00D463F2">
        <w:rPr>
          <w:rFonts w:eastAsia="Cambria"/>
        </w:rPr>
        <w:t>Assistance P</w:t>
      </w:r>
      <w:r w:rsidRPr="00C973EA">
        <w:rPr>
          <w:rFonts w:eastAsia="Cambria"/>
        </w:rPr>
        <w:t xml:space="preserve">rogram support services, </w:t>
      </w:r>
      <w:r w:rsidR="0007252F">
        <w:rPr>
          <w:rFonts w:eastAsia="Cambria"/>
        </w:rPr>
        <w:t xml:space="preserve">DFV </w:t>
      </w:r>
      <w:r w:rsidRPr="00C973EA">
        <w:rPr>
          <w:rFonts w:eastAsia="Cambria"/>
        </w:rPr>
        <w:t>awareness and management programs, and the management of injury and illness in the workplace.</w:t>
      </w:r>
    </w:p>
    <w:p w14:paraId="09298F0C" w14:textId="4447B056" w:rsidR="00F6598D" w:rsidRPr="00C973EA" w:rsidRDefault="00F6598D" w:rsidP="00CB5FBE">
      <w:pPr>
        <w:autoSpaceDE w:val="0"/>
        <w:autoSpaceDN w:val="0"/>
        <w:adjustRightInd w:val="0"/>
        <w:ind w:left="-142"/>
        <w:rPr>
          <w:rFonts w:eastAsia="Cambria"/>
        </w:rPr>
      </w:pPr>
      <w:r w:rsidRPr="00C973EA">
        <w:rPr>
          <w:rFonts w:eastAsia="Cambria"/>
        </w:rPr>
        <w:t>Injury management</w:t>
      </w:r>
      <w:r>
        <w:rPr>
          <w:rFonts w:eastAsia="Cambria"/>
        </w:rPr>
        <w:t xml:space="preserve"> to assist and support early and safe return to work from injury or illness, </w:t>
      </w:r>
      <w:r w:rsidRPr="00C973EA">
        <w:rPr>
          <w:rFonts w:eastAsia="Cambria"/>
        </w:rPr>
        <w:t xml:space="preserve">is available to </w:t>
      </w:r>
      <w:r>
        <w:rPr>
          <w:rFonts w:eastAsia="Cambria"/>
        </w:rPr>
        <w:t xml:space="preserve">Office of the </w:t>
      </w:r>
      <w:r w:rsidRPr="00C973EA">
        <w:rPr>
          <w:rFonts w:eastAsia="Cambria"/>
        </w:rPr>
        <w:t xml:space="preserve">IGEM employees. </w:t>
      </w:r>
      <w:r w:rsidRPr="0036663B">
        <w:rPr>
          <w:rFonts w:eastAsia="Cambria"/>
        </w:rPr>
        <w:t xml:space="preserve">As an organisation, </w:t>
      </w:r>
      <w:r>
        <w:rPr>
          <w:rFonts w:eastAsia="Cambria"/>
        </w:rPr>
        <w:t xml:space="preserve">the Office of the </w:t>
      </w:r>
      <w:r w:rsidRPr="00C973EA">
        <w:rPr>
          <w:rFonts w:eastAsia="Cambria"/>
        </w:rPr>
        <w:t xml:space="preserve">IGEM supports injured or ill employees through the development of rehabilitation and return to work plans. </w:t>
      </w:r>
      <w:r>
        <w:rPr>
          <w:rFonts w:eastAsia="Cambria"/>
        </w:rPr>
        <w:t xml:space="preserve">Where necessary, this has been </w:t>
      </w:r>
      <w:r w:rsidRPr="00C973EA">
        <w:rPr>
          <w:rFonts w:eastAsia="Cambria"/>
        </w:rPr>
        <w:t>successful</w:t>
      </w:r>
      <w:r>
        <w:rPr>
          <w:rFonts w:eastAsia="Cambria"/>
        </w:rPr>
        <w:t xml:space="preserve"> </w:t>
      </w:r>
      <w:r w:rsidRPr="00C973EA">
        <w:rPr>
          <w:rFonts w:eastAsia="Cambria"/>
        </w:rPr>
        <w:t>in facilitating a planned and practical return to work of injured employees.</w:t>
      </w:r>
    </w:p>
    <w:p w14:paraId="1A6179F5" w14:textId="77777777" w:rsidR="00F6598D" w:rsidRPr="00C973EA" w:rsidRDefault="00F6598D" w:rsidP="00CB5FBE">
      <w:pPr>
        <w:autoSpaceDE w:val="0"/>
        <w:autoSpaceDN w:val="0"/>
        <w:adjustRightInd w:val="0"/>
        <w:ind w:left="-142"/>
        <w:rPr>
          <w:rFonts w:eastAsia="Cambria"/>
        </w:rPr>
      </w:pPr>
      <w:r>
        <w:rPr>
          <w:rFonts w:eastAsia="Cambria"/>
        </w:rPr>
        <w:t xml:space="preserve">The Office of the IGEM has continued to </w:t>
      </w:r>
      <w:r w:rsidRPr="00C973EA">
        <w:rPr>
          <w:rFonts w:eastAsia="Cambria"/>
        </w:rPr>
        <w:t>adopt a proactive approach in examining reported workplace health and safety incidents and potential hazards.</w:t>
      </w:r>
    </w:p>
    <w:p w14:paraId="28906121" w14:textId="5259FE64" w:rsidR="00F6598D" w:rsidRDefault="00F6598D" w:rsidP="00CB5FBE">
      <w:pPr>
        <w:autoSpaceDE w:val="0"/>
        <w:autoSpaceDN w:val="0"/>
        <w:adjustRightInd w:val="0"/>
        <w:spacing w:after="240"/>
        <w:ind w:left="-142"/>
        <w:rPr>
          <w:rFonts w:eastAsia="Cambria"/>
          <w:b/>
          <w:highlight w:val="yellow"/>
        </w:rPr>
      </w:pPr>
      <w:r w:rsidRPr="00C973EA">
        <w:rPr>
          <w:rFonts w:eastAsia="Cambria"/>
        </w:rPr>
        <w:t xml:space="preserve">In March and April 2017, the annual influenza vaccination program was </w:t>
      </w:r>
      <w:r w:rsidR="0007252F">
        <w:rPr>
          <w:rFonts w:eastAsia="Cambria"/>
        </w:rPr>
        <w:t>offered</w:t>
      </w:r>
      <w:r w:rsidR="005F50D1">
        <w:rPr>
          <w:rFonts w:eastAsia="Cambria"/>
        </w:rPr>
        <w:t xml:space="preserve"> to the Office of the IGEM</w:t>
      </w:r>
      <w:r w:rsidRPr="00C973EA">
        <w:rPr>
          <w:rFonts w:eastAsia="Cambria"/>
        </w:rPr>
        <w:t xml:space="preserve">, with a large proportion of employees </w:t>
      </w:r>
      <w:r w:rsidR="0007252F">
        <w:rPr>
          <w:rFonts w:eastAsia="Cambria"/>
        </w:rPr>
        <w:t>receiving</w:t>
      </w:r>
      <w:r w:rsidRPr="00C973EA">
        <w:rPr>
          <w:rFonts w:eastAsia="Cambria"/>
        </w:rPr>
        <w:t xml:space="preserve"> a vaccination.</w:t>
      </w:r>
      <w:r>
        <w:rPr>
          <w:rFonts w:eastAsia="Cambria"/>
        </w:rPr>
        <w:t xml:space="preserve"> </w:t>
      </w:r>
    </w:p>
    <w:p w14:paraId="45EB0083" w14:textId="55AC0ADA" w:rsidR="00F6598D" w:rsidRPr="00F15BA5" w:rsidRDefault="00F6598D" w:rsidP="00913AA5">
      <w:pPr>
        <w:keepNext/>
        <w:keepLines/>
        <w:spacing w:before="240"/>
        <w:ind w:left="-142"/>
        <w:outlineLvl w:val="2"/>
        <w:rPr>
          <w:rFonts w:ascii="Arial Bold" w:eastAsia="Calibri" w:hAnsi="Arial Bold"/>
          <w:bCs/>
          <w:sz w:val="28"/>
          <w:szCs w:val="28"/>
          <w14:ligatures w14:val="standardContextual"/>
        </w:rPr>
      </w:pPr>
      <w:r w:rsidRPr="00F15BA5">
        <w:rPr>
          <w:rFonts w:ascii="Arial Bold" w:eastAsia="Calibri" w:hAnsi="Arial Bold"/>
          <w:bCs/>
          <w:sz w:val="28"/>
          <w:szCs w:val="28"/>
          <w14:ligatures w14:val="standardContextual"/>
        </w:rPr>
        <w:t xml:space="preserve">Early retirement, redundancy and retrenchment </w:t>
      </w:r>
      <w:r>
        <w:rPr>
          <w:rFonts w:ascii="Arial Bold" w:eastAsia="Calibri" w:hAnsi="Arial Bold"/>
          <w:bCs/>
          <w:sz w:val="28"/>
          <w:szCs w:val="28"/>
          <w14:ligatures w14:val="standardContextual"/>
        </w:rPr>
        <w:t xml:space="preserve"> </w:t>
      </w:r>
    </w:p>
    <w:p w14:paraId="637F6D0A" w14:textId="77777777" w:rsidR="00F6598D" w:rsidRPr="00F15BA5" w:rsidRDefault="00F6598D" w:rsidP="00CB5FBE">
      <w:pPr>
        <w:autoSpaceDE w:val="0"/>
        <w:autoSpaceDN w:val="0"/>
        <w:adjustRightInd w:val="0"/>
        <w:ind w:left="-142"/>
        <w:rPr>
          <w:rFonts w:eastAsia="Cambria"/>
        </w:rPr>
      </w:pPr>
      <w:r w:rsidRPr="0036663B">
        <w:rPr>
          <w:rFonts w:eastAsia="Cambria"/>
        </w:rPr>
        <w:t>No early retirement, redundancy or retrenchment packages were paid during the period 1</w:t>
      </w:r>
      <w:r>
        <w:rPr>
          <w:rFonts w:eastAsia="Cambria"/>
        </w:rPr>
        <w:t> </w:t>
      </w:r>
      <w:r w:rsidRPr="0036663B">
        <w:rPr>
          <w:rFonts w:eastAsia="Cambria"/>
        </w:rPr>
        <w:t>July 2016 to 30 June 2017.</w:t>
      </w:r>
    </w:p>
    <w:p w14:paraId="2A871577" w14:textId="77777777" w:rsidR="00F6598D" w:rsidRDefault="00F6598D" w:rsidP="00F6598D">
      <w:pPr>
        <w:rPr>
          <w:rFonts w:eastAsia="Cambria"/>
          <w:b/>
        </w:rPr>
      </w:pPr>
    </w:p>
    <w:p w14:paraId="1B4F413C" w14:textId="77777777" w:rsidR="00F6598D" w:rsidRDefault="00F6598D" w:rsidP="00F6598D">
      <w:pPr>
        <w:rPr>
          <w:rFonts w:eastAsia="Cambria"/>
          <w:b/>
        </w:rPr>
      </w:pPr>
    </w:p>
    <w:p w14:paraId="26E529EE" w14:textId="0EA0EBE2" w:rsidR="00794336" w:rsidRDefault="00794336">
      <w:r>
        <w:br w:type="page"/>
      </w:r>
    </w:p>
    <w:p w14:paraId="46FB11C8" w14:textId="3E39ECF3" w:rsidR="0076456D" w:rsidRDefault="001D617A" w:rsidP="0076456D">
      <w:pPr>
        <w:pStyle w:val="Heading1"/>
        <w:ind w:left="0" w:right="77"/>
        <w:rPr>
          <w:noProof/>
        </w:rPr>
      </w:pPr>
      <w:bookmarkStart w:id="200" w:name="_Toc460406688"/>
      <w:bookmarkStart w:id="201" w:name="_Toc460406838"/>
      <w:bookmarkStart w:id="202" w:name="_Toc460406874"/>
      <w:bookmarkStart w:id="203" w:name="_Toc460406953"/>
      <w:bookmarkStart w:id="204" w:name="_Toc460407067"/>
      <w:bookmarkStart w:id="205" w:name="_Toc492622962"/>
      <w:r>
        <w:lastRenderedPageBreak/>
        <w:t xml:space="preserve">Financial </w:t>
      </w:r>
      <w:r w:rsidR="003B61F8">
        <w:t xml:space="preserve">statements </w:t>
      </w:r>
      <w:r>
        <w:t xml:space="preserve">- </w:t>
      </w:r>
      <w:r w:rsidR="000E776F">
        <w:t>T</w:t>
      </w:r>
      <w:r w:rsidR="000E776F" w:rsidRPr="00CF7505">
        <w:t xml:space="preserve">able of </w:t>
      </w:r>
      <w:r w:rsidR="00B34B8E">
        <w:t>c</w:t>
      </w:r>
      <w:r w:rsidR="00426138" w:rsidRPr="00CF7505">
        <w:t>ontents</w:t>
      </w:r>
      <w:bookmarkEnd w:id="200"/>
      <w:bookmarkEnd w:id="201"/>
      <w:bookmarkEnd w:id="202"/>
      <w:bookmarkEnd w:id="203"/>
      <w:bookmarkEnd w:id="204"/>
      <w:bookmarkEnd w:id="205"/>
      <w:r w:rsidR="00426138" w:rsidRPr="00CF7505">
        <w:t xml:space="preserve"> </w:t>
      </w:r>
      <w:r w:rsidR="0076456D">
        <w:fldChar w:fldCharType="begin"/>
      </w:r>
      <w:r w:rsidR="0076456D">
        <w:instrText xml:space="preserve"> TOC \o "1-2" \f \h \z \u </w:instrText>
      </w:r>
      <w:r w:rsidR="0076456D">
        <w:fldChar w:fldCharType="separate"/>
      </w:r>
    </w:p>
    <w:p w14:paraId="28E609B0" w14:textId="6BA0AEB1"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68" w:history="1">
        <w:r w:rsidR="0076456D" w:rsidRPr="009B3705">
          <w:rPr>
            <w:rStyle w:val="Hyperlink"/>
          </w:rPr>
          <w:t>Statement of comprehensive income</w:t>
        </w:r>
        <w:r w:rsidR="0076456D">
          <w:rPr>
            <w:webHidden/>
          </w:rPr>
          <w:tab/>
        </w:r>
        <w:r w:rsidR="0076456D">
          <w:rPr>
            <w:webHidden/>
          </w:rPr>
          <w:fldChar w:fldCharType="begin"/>
        </w:r>
        <w:r w:rsidR="0076456D">
          <w:rPr>
            <w:webHidden/>
          </w:rPr>
          <w:instrText xml:space="preserve"> PAGEREF _Toc460407068 \h </w:instrText>
        </w:r>
        <w:r w:rsidR="0076456D">
          <w:rPr>
            <w:webHidden/>
          </w:rPr>
        </w:r>
        <w:r w:rsidR="0076456D">
          <w:rPr>
            <w:webHidden/>
          </w:rPr>
          <w:fldChar w:fldCharType="separate"/>
        </w:r>
        <w:r>
          <w:rPr>
            <w:webHidden/>
          </w:rPr>
          <w:t>42</w:t>
        </w:r>
        <w:r w:rsidR="0076456D">
          <w:rPr>
            <w:webHidden/>
          </w:rPr>
          <w:fldChar w:fldCharType="end"/>
        </w:r>
      </w:hyperlink>
    </w:p>
    <w:p w14:paraId="1C0E6B39" w14:textId="77777777"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69" w:history="1">
        <w:r w:rsidR="0076456D" w:rsidRPr="009B3705">
          <w:rPr>
            <w:rStyle w:val="Hyperlink"/>
          </w:rPr>
          <w:t>Statement of financial position</w:t>
        </w:r>
        <w:r w:rsidR="0076456D">
          <w:rPr>
            <w:webHidden/>
          </w:rPr>
          <w:tab/>
        </w:r>
        <w:r w:rsidR="0076456D">
          <w:rPr>
            <w:webHidden/>
          </w:rPr>
          <w:fldChar w:fldCharType="begin"/>
        </w:r>
        <w:r w:rsidR="0076456D">
          <w:rPr>
            <w:webHidden/>
          </w:rPr>
          <w:instrText xml:space="preserve"> PAGEREF _Toc460407069 \h </w:instrText>
        </w:r>
        <w:r w:rsidR="0076456D">
          <w:rPr>
            <w:webHidden/>
          </w:rPr>
        </w:r>
        <w:r w:rsidR="0076456D">
          <w:rPr>
            <w:webHidden/>
          </w:rPr>
          <w:fldChar w:fldCharType="separate"/>
        </w:r>
        <w:r>
          <w:rPr>
            <w:webHidden/>
          </w:rPr>
          <w:t>43</w:t>
        </w:r>
        <w:r w:rsidR="0076456D">
          <w:rPr>
            <w:webHidden/>
          </w:rPr>
          <w:fldChar w:fldCharType="end"/>
        </w:r>
      </w:hyperlink>
    </w:p>
    <w:p w14:paraId="70342BB7" w14:textId="77777777"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70" w:history="1">
        <w:r w:rsidR="0076456D" w:rsidRPr="009B3705">
          <w:rPr>
            <w:rStyle w:val="Hyperlink"/>
          </w:rPr>
          <w:t>Statement of changes in equity</w:t>
        </w:r>
        <w:r w:rsidR="0076456D">
          <w:rPr>
            <w:webHidden/>
          </w:rPr>
          <w:tab/>
        </w:r>
        <w:r w:rsidR="0076456D">
          <w:rPr>
            <w:webHidden/>
          </w:rPr>
          <w:fldChar w:fldCharType="begin"/>
        </w:r>
        <w:r w:rsidR="0076456D">
          <w:rPr>
            <w:webHidden/>
          </w:rPr>
          <w:instrText xml:space="preserve"> PAGEREF _Toc460407070 \h </w:instrText>
        </w:r>
        <w:r w:rsidR="0076456D">
          <w:rPr>
            <w:webHidden/>
          </w:rPr>
        </w:r>
        <w:r w:rsidR="0076456D">
          <w:rPr>
            <w:webHidden/>
          </w:rPr>
          <w:fldChar w:fldCharType="separate"/>
        </w:r>
        <w:r>
          <w:rPr>
            <w:webHidden/>
          </w:rPr>
          <w:t>44</w:t>
        </w:r>
        <w:r w:rsidR="0076456D">
          <w:rPr>
            <w:webHidden/>
          </w:rPr>
          <w:fldChar w:fldCharType="end"/>
        </w:r>
      </w:hyperlink>
    </w:p>
    <w:p w14:paraId="1C7E0CA9" w14:textId="77777777"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71" w:history="1">
        <w:r w:rsidR="0076456D" w:rsidRPr="009B3705">
          <w:rPr>
            <w:rStyle w:val="Hyperlink"/>
          </w:rPr>
          <w:t>Statement of cash flows</w:t>
        </w:r>
        <w:r w:rsidR="0076456D">
          <w:rPr>
            <w:webHidden/>
          </w:rPr>
          <w:tab/>
        </w:r>
        <w:r w:rsidR="0076456D">
          <w:rPr>
            <w:webHidden/>
          </w:rPr>
          <w:fldChar w:fldCharType="begin"/>
        </w:r>
        <w:r w:rsidR="0076456D">
          <w:rPr>
            <w:webHidden/>
          </w:rPr>
          <w:instrText xml:space="preserve"> PAGEREF _Toc460407071 \h </w:instrText>
        </w:r>
        <w:r w:rsidR="0076456D">
          <w:rPr>
            <w:webHidden/>
          </w:rPr>
        </w:r>
        <w:r w:rsidR="0076456D">
          <w:rPr>
            <w:webHidden/>
          </w:rPr>
          <w:fldChar w:fldCharType="separate"/>
        </w:r>
        <w:r>
          <w:rPr>
            <w:webHidden/>
          </w:rPr>
          <w:t>45</w:t>
        </w:r>
        <w:r w:rsidR="0076456D">
          <w:rPr>
            <w:webHidden/>
          </w:rPr>
          <w:fldChar w:fldCharType="end"/>
        </w:r>
      </w:hyperlink>
    </w:p>
    <w:p w14:paraId="2AB86891" w14:textId="5CA86CF8"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72" w:history="1">
        <w:r w:rsidR="0076456D" w:rsidRPr="009B3705">
          <w:rPr>
            <w:rStyle w:val="Hyperlink"/>
          </w:rPr>
          <w:t xml:space="preserve">Notes to and forming part </w:t>
        </w:r>
        <w:r w:rsidR="005B453E">
          <w:rPr>
            <w:rStyle w:val="Hyperlink"/>
          </w:rPr>
          <w:t>of the financial statements 2016-17</w:t>
        </w:r>
        <w:r w:rsidR="0076456D">
          <w:rPr>
            <w:webHidden/>
          </w:rPr>
          <w:tab/>
        </w:r>
        <w:r w:rsidR="0076456D">
          <w:rPr>
            <w:webHidden/>
          </w:rPr>
          <w:fldChar w:fldCharType="begin"/>
        </w:r>
        <w:r w:rsidR="0076456D">
          <w:rPr>
            <w:webHidden/>
          </w:rPr>
          <w:instrText xml:space="preserve"> PAGEREF _Toc460407072 \h </w:instrText>
        </w:r>
        <w:r w:rsidR="0076456D">
          <w:rPr>
            <w:webHidden/>
          </w:rPr>
        </w:r>
        <w:r w:rsidR="0076456D">
          <w:rPr>
            <w:webHidden/>
          </w:rPr>
          <w:fldChar w:fldCharType="separate"/>
        </w:r>
        <w:r>
          <w:rPr>
            <w:webHidden/>
          </w:rPr>
          <w:t>46</w:t>
        </w:r>
        <w:r w:rsidR="0076456D">
          <w:rPr>
            <w:webHidden/>
          </w:rPr>
          <w:fldChar w:fldCharType="end"/>
        </w:r>
      </w:hyperlink>
    </w:p>
    <w:p w14:paraId="7F904CDA" w14:textId="146D6982"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73" w:history="1">
        <w:r w:rsidR="0076456D" w:rsidRPr="009B3705">
          <w:rPr>
            <w:rStyle w:val="Hyperlink"/>
          </w:rPr>
          <w:t>Management Certificate</w:t>
        </w:r>
        <w:r w:rsidR="005B453E">
          <w:rPr>
            <w:rStyle w:val="Hyperlink"/>
          </w:rPr>
          <w:t xml:space="preserve"> for the year ended 30 June 2017</w:t>
        </w:r>
        <w:r w:rsidR="0076456D">
          <w:rPr>
            <w:webHidden/>
          </w:rPr>
          <w:tab/>
        </w:r>
        <w:r w:rsidR="0076456D">
          <w:rPr>
            <w:webHidden/>
          </w:rPr>
          <w:fldChar w:fldCharType="begin"/>
        </w:r>
        <w:r w:rsidR="0076456D">
          <w:rPr>
            <w:webHidden/>
          </w:rPr>
          <w:instrText xml:space="preserve"> PAGEREF _Toc460407073 \h </w:instrText>
        </w:r>
        <w:r w:rsidR="0076456D">
          <w:rPr>
            <w:webHidden/>
          </w:rPr>
        </w:r>
        <w:r w:rsidR="0076456D">
          <w:rPr>
            <w:webHidden/>
          </w:rPr>
          <w:fldChar w:fldCharType="separate"/>
        </w:r>
        <w:r>
          <w:rPr>
            <w:webHidden/>
          </w:rPr>
          <w:t>56</w:t>
        </w:r>
        <w:r w:rsidR="0076456D">
          <w:rPr>
            <w:webHidden/>
          </w:rPr>
          <w:fldChar w:fldCharType="end"/>
        </w:r>
      </w:hyperlink>
    </w:p>
    <w:p w14:paraId="5DE140A7" w14:textId="77777777" w:rsidR="0076456D" w:rsidRDefault="006F2417" w:rsidP="00E04C32">
      <w:pPr>
        <w:pStyle w:val="TOC2"/>
        <w:ind w:left="-142"/>
        <w:rPr>
          <w:rFonts w:asciiTheme="minorHAnsi" w:eastAsiaTheme="minorEastAsia" w:hAnsiTheme="minorHAnsi" w:cstheme="minorBidi"/>
          <w:kern w:val="0"/>
          <w:szCs w:val="22"/>
          <w:lang w:val="en-AU" w:eastAsia="en-AU"/>
        </w:rPr>
      </w:pPr>
      <w:hyperlink w:anchor="_Toc460407074" w:history="1">
        <w:r w:rsidR="0076456D" w:rsidRPr="009B3705">
          <w:rPr>
            <w:rStyle w:val="Hyperlink"/>
          </w:rPr>
          <w:t>Independent Auditor’s Report</w:t>
        </w:r>
        <w:r w:rsidR="0076456D">
          <w:rPr>
            <w:webHidden/>
          </w:rPr>
          <w:tab/>
        </w:r>
        <w:r w:rsidR="0076456D">
          <w:rPr>
            <w:webHidden/>
          </w:rPr>
          <w:fldChar w:fldCharType="begin"/>
        </w:r>
        <w:r w:rsidR="0076456D">
          <w:rPr>
            <w:webHidden/>
          </w:rPr>
          <w:instrText xml:space="preserve"> PAGEREF _Toc460407074 \h </w:instrText>
        </w:r>
        <w:r w:rsidR="0076456D">
          <w:rPr>
            <w:webHidden/>
          </w:rPr>
        </w:r>
        <w:r w:rsidR="0076456D">
          <w:rPr>
            <w:webHidden/>
          </w:rPr>
          <w:fldChar w:fldCharType="separate"/>
        </w:r>
        <w:r>
          <w:rPr>
            <w:webHidden/>
          </w:rPr>
          <w:t>57</w:t>
        </w:r>
        <w:r w:rsidR="0076456D">
          <w:rPr>
            <w:webHidden/>
          </w:rPr>
          <w:fldChar w:fldCharType="end"/>
        </w:r>
      </w:hyperlink>
    </w:p>
    <w:p w14:paraId="257A3171" w14:textId="6326B909" w:rsidR="005B453E" w:rsidRDefault="0076456D" w:rsidP="0076456D">
      <w:r>
        <w:fldChar w:fldCharType="end"/>
      </w:r>
    </w:p>
    <w:p w14:paraId="5F957B70" w14:textId="77777777" w:rsidR="005B453E" w:rsidRDefault="005B453E">
      <w:r>
        <w:br w:type="page"/>
      </w:r>
    </w:p>
    <w:p w14:paraId="5BC78FAB" w14:textId="6304A53B" w:rsidR="007A4AD3" w:rsidRPr="004D0C71" w:rsidRDefault="007703EB" w:rsidP="007703EB">
      <w:pPr>
        <w:pStyle w:val="Heading2"/>
      </w:pPr>
      <w:bookmarkStart w:id="206" w:name="_Toc446075132"/>
      <w:bookmarkStart w:id="207" w:name="_Toc460406689"/>
      <w:bookmarkStart w:id="208" w:name="_Toc460407068"/>
      <w:bookmarkStart w:id="209" w:name="_Toc492622963"/>
      <w:r>
        <w:rPr>
          <w:noProof/>
          <w:lang w:val="en-AU" w:eastAsia="en-AU"/>
        </w:rPr>
        <w:lastRenderedPageBreak/>
        <w:drawing>
          <wp:anchor distT="0" distB="0" distL="114300" distR="114300" simplePos="0" relativeHeight="251684864" behindDoc="1" locked="0" layoutInCell="1" allowOverlap="1" wp14:anchorId="7B40C899" wp14:editId="5FC9CA32">
            <wp:simplePos x="0" y="0"/>
            <wp:positionH relativeFrom="column">
              <wp:posOffset>-377190</wp:posOffset>
            </wp:positionH>
            <wp:positionV relativeFrom="paragraph">
              <wp:posOffset>361950</wp:posOffset>
            </wp:positionV>
            <wp:extent cx="6886575" cy="4624705"/>
            <wp:effectExtent l="0" t="0" r="9525" b="4445"/>
            <wp:wrapTight wrapText="bothSides">
              <wp:wrapPolygon edited="0">
                <wp:start x="0" y="0"/>
                <wp:lineTo x="0" y="21532"/>
                <wp:lineTo x="21570" y="21532"/>
                <wp:lineTo x="2157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EM 2016-17 Statement of comprehensive income.jpg"/>
                    <pic:cNvPicPr/>
                  </pic:nvPicPr>
                  <pic:blipFill rotWithShape="1">
                    <a:blip r:embed="rId68">
                      <a:extLst>
                        <a:ext uri="{28A0092B-C50C-407E-A947-70E740481C1C}">
                          <a14:useLocalDpi xmlns:a14="http://schemas.microsoft.com/office/drawing/2010/main" val="0"/>
                        </a:ext>
                      </a:extLst>
                    </a:blip>
                    <a:srcRect t="2800" r="7267"/>
                    <a:stretch/>
                  </pic:blipFill>
                  <pic:spPr bwMode="auto">
                    <a:xfrm>
                      <a:off x="0" y="0"/>
                      <a:ext cx="6886575" cy="4624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3F71" w:rsidRPr="004D0C71">
        <w:t xml:space="preserve">Statement of </w:t>
      </w:r>
      <w:r w:rsidR="00024DCD" w:rsidRPr="004D0C71">
        <w:t>comprehensive income</w:t>
      </w:r>
      <w:bookmarkEnd w:id="206"/>
      <w:bookmarkEnd w:id="207"/>
      <w:bookmarkEnd w:id="208"/>
      <w:bookmarkEnd w:id="209"/>
    </w:p>
    <w:p w14:paraId="4CB498C3" w14:textId="3F66BA44" w:rsidR="007703EB" w:rsidRDefault="007703EB" w:rsidP="001046DB">
      <w:pPr>
        <w:rPr>
          <w:noProof/>
          <w:lang w:val="en-AU" w:eastAsia="en-AU"/>
        </w:rPr>
      </w:pPr>
    </w:p>
    <w:p w14:paraId="11DF883D" w14:textId="33B5753C" w:rsidR="001046DB" w:rsidRDefault="001046DB" w:rsidP="001046DB"/>
    <w:p w14:paraId="477A3BF7" w14:textId="77777777" w:rsidR="007A4AD3" w:rsidRPr="00341581" w:rsidRDefault="007A4AD3" w:rsidP="00F11EFB">
      <w:pPr>
        <w:jc w:val="center"/>
        <w:rPr>
          <w:b/>
          <w:i/>
          <w:caps/>
        </w:rPr>
      </w:pPr>
      <w:r w:rsidRPr="00341581">
        <w:br w:type="page"/>
      </w:r>
    </w:p>
    <w:p w14:paraId="375B4839" w14:textId="31661B8D" w:rsidR="001046DB" w:rsidRPr="00024DCD" w:rsidRDefault="00E04C32" w:rsidP="007703EB">
      <w:pPr>
        <w:pStyle w:val="Heading2"/>
      </w:pPr>
      <w:bookmarkStart w:id="210" w:name="_Toc446075133"/>
      <w:bookmarkStart w:id="211" w:name="_Toc460406690"/>
      <w:bookmarkStart w:id="212" w:name="_Toc460407069"/>
      <w:bookmarkStart w:id="213" w:name="_Toc492622964"/>
      <w:r>
        <w:rPr>
          <w:noProof/>
          <w:lang w:val="en-AU" w:eastAsia="en-AU"/>
        </w:rPr>
        <w:lastRenderedPageBreak/>
        <w:drawing>
          <wp:anchor distT="0" distB="0" distL="114300" distR="114300" simplePos="0" relativeHeight="251685888" behindDoc="1" locked="0" layoutInCell="1" allowOverlap="1" wp14:anchorId="3FD3AF19" wp14:editId="5C327384">
            <wp:simplePos x="0" y="0"/>
            <wp:positionH relativeFrom="column">
              <wp:posOffset>-194310</wp:posOffset>
            </wp:positionH>
            <wp:positionV relativeFrom="paragraph">
              <wp:posOffset>283845</wp:posOffset>
            </wp:positionV>
            <wp:extent cx="6745605" cy="6109335"/>
            <wp:effectExtent l="0" t="0" r="0" b="5715"/>
            <wp:wrapTight wrapText="bothSides">
              <wp:wrapPolygon edited="0">
                <wp:start x="0" y="0"/>
                <wp:lineTo x="0" y="21553"/>
                <wp:lineTo x="21533" y="21553"/>
                <wp:lineTo x="2153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GEM 2016-17 Statement of financial position.jpg"/>
                    <pic:cNvPicPr/>
                  </pic:nvPicPr>
                  <pic:blipFill>
                    <a:blip r:embed="rId69">
                      <a:extLst>
                        <a:ext uri="{28A0092B-C50C-407E-A947-70E740481C1C}">
                          <a14:useLocalDpi xmlns:a14="http://schemas.microsoft.com/office/drawing/2010/main" val="0"/>
                        </a:ext>
                      </a:extLst>
                    </a:blip>
                    <a:stretch>
                      <a:fillRect/>
                    </a:stretch>
                  </pic:blipFill>
                  <pic:spPr>
                    <a:xfrm>
                      <a:off x="0" y="0"/>
                      <a:ext cx="6745605" cy="6109335"/>
                    </a:xfrm>
                    <a:prstGeom prst="rect">
                      <a:avLst/>
                    </a:prstGeom>
                  </pic:spPr>
                </pic:pic>
              </a:graphicData>
            </a:graphic>
            <wp14:sizeRelH relativeFrom="page">
              <wp14:pctWidth>0</wp14:pctWidth>
            </wp14:sizeRelH>
            <wp14:sizeRelV relativeFrom="page">
              <wp14:pctHeight>0</wp14:pctHeight>
            </wp14:sizeRelV>
          </wp:anchor>
        </w:drawing>
      </w:r>
      <w:r w:rsidR="00FA7943" w:rsidRPr="00024DCD">
        <w:t xml:space="preserve">Statement of </w:t>
      </w:r>
      <w:r w:rsidR="00CD630C" w:rsidRPr="00024DCD">
        <w:t>f</w:t>
      </w:r>
      <w:r w:rsidR="00FA7943" w:rsidRPr="00024DCD">
        <w:t xml:space="preserve">inancial </w:t>
      </w:r>
      <w:r w:rsidR="00CD630C" w:rsidRPr="00024DCD">
        <w:t>p</w:t>
      </w:r>
      <w:r w:rsidR="00FA7943" w:rsidRPr="00024DCD">
        <w:t>osi</w:t>
      </w:r>
      <w:r w:rsidR="007621B8" w:rsidRPr="00024DCD">
        <w:t>tion</w:t>
      </w:r>
      <w:bookmarkEnd w:id="210"/>
      <w:bookmarkEnd w:id="211"/>
      <w:bookmarkEnd w:id="212"/>
      <w:bookmarkEnd w:id="213"/>
    </w:p>
    <w:p w14:paraId="43EE9636" w14:textId="7FF33C88" w:rsidR="005B453E" w:rsidRDefault="005B453E">
      <w:pPr>
        <w:rPr>
          <w:noProof/>
          <w:lang w:val="en-AU" w:eastAsia="en-AU"/>
        </w:rPr>
      </w:pPr>
      <w:r>
        <w:rPr>
          <w:noProof/>
          <w:lang w:val="en-AU" w:eastAsia="en-AU"/>
        </w:rPr>
        <w:br w:type="page"/>
      </w:r>
    </w:p>
    <w:p w14:paraId="330577D9" w14:textId="44324E42" w:rsidR="00024DCD" w:rsidRPr="00024DCD" w:rsidRDefault="00E04C32" w:rsidP="007703EB">
      <w:pPr>
        <w:pStyle w:val="Heading2"/>
      </w:pPr>
      <w:bookmarkStart w:id="214" w:name="_Toc460406691"/>
      <w:bookmarkStart w:id="215" w:name="_Toc460407070"/>
      <w:bookmarkStart w:id="216" w:name="_Toc492622965"/>
      <w:bookmarkStart w:id="217" w:name="_Toc446075134"/>
      <w:r>
        <w:rPr>
          <w:noProof/>
          <w:lang w:val="en-AU" w:eastAsia="en-AU"/>
        </w:rPr>
        <w:lastRenderedPageBreak/>
        <w:drawing>
          <wp:anchor distT="0" distB="0" distL="114300" distR="114300" simplePos="0" relativeHeight="251686912" behindDoc="1" locked="0" layoutInCell="1" allowOverlap="1" wp14:anchorId="0E43598D" wp14:editId="6E6054CB">
            <wp:simplePos x="0" y="0"/>
            <wp:positionH relativeFrom="column">
              <wp:posOffset>-296174</wp:posOffset>
            </wp:positionH>
            <wp:positionV relativeFrom="paragraph">
              <wp:posOffset>335280</wp:posOffset>
            </wp:positionV>
            <wp:extent cx="6875145" cy="4048125"/>
            <wp:effectExtent l="0" t="0" r="1905" b="9525"/>
            <wp:wrapTight wrapText="bothSides">
              <wp:wrapPolygon edited="0">
                <wp:start x="0" y="0"/>
                <wp:lineTo x="0" y="21549"/>
                <wp:lineTo x="21546" y="21549"/>
                <wp:lineTo x="215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GEM 2016-17 Statement of changes in equity.jpg"/>
                    <pic:cNvPicPr/>
                  </pic:nvPicPr>
                  <pic:blipFill rotWithShape="1">
                    <a:blip r:embed="rId70">
                      <a:extLst>
                        <a:ext uri="{28A0092B-C50C-407E-A947-70E740481C1C}">
                          <a14:useLocalDpi xmlns:a14="http://schemas.microsoft.com/office/drawing/2010/main" val="0"/>
                        </a:ext>
                      </a:extLst>
                    </a:blip>
                    <a:srcRect r="6121"/>
                    <a:stretch/>
                  </pic:blipFill>
                  <pic:spPr bwMode="auto">
                    <a:xfrm>
                      <a:off x="0" y="0"/>
                      <a:ext cx="6875145" cy="4048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DCD" w:rsidRPr="00024DCD">
        <w:t>Statement of changes in equity</w:t>
      </w:r>
      <w:bookmarkEnd w:id="214"/>
      <w:bookmarkEnd w:id="215"/>
      <w:bookmarkEnd w:id="216"/>
    </w:p>
    <w:p w14:paraId="73D39EB0" w14:textId="15F3C752" w:rsidR="00024DCD" w:rsidRDefault="00024DCD" w:rsidP="004D0C71">
      <w:pPr>
        <w:rPr>
          <w:rFonts w:ascii="Arial Bold" w:eastAsia="Times New Roman" w:hAnsi="Arial Bold"/>
          <w:b/>
          <w:i/>
          <w:color w:val="AB054C"/>
          <w:sz w:val="36"/>
          <w:highlight w:val="yellow"/>
          <w14:ligatures w14:val="standardContextual"/>
        </w:rPr>
      </w:pPr>
      <w:r>
        <w:rPr>
          <w:highlight w:val="yellow"/>
        </w:rPr>
        <w:br w:type="page"/>
      </w:r>
    </w:p>
    <w:p w14:paraId="187BC47E" w14:textId="18EE12CE" w:rsidR="00EA37B4" w:rsidRPr="00EA37B4" w:rsidRDefault="00E04C32" w:rsidP="007703EB">
      <w:pPr>
        <w:pStyle w:val="Heading2"/>
      </w:pPr>
      <w:bookmarkStart w:id="218" w:name="_Toc460406692"/>
      <w:bookmarkStart w:id="219" w:name="_Toc460407071"/>
      <w:bookmarkStart w:id="220" w:name="_Toc492622966"/>
      <w:r>
        <w:rPr>
          <w:noProof/>
          <w:lang w:val="en-AU" w:eastAsia="en-AU"/>
        </w:rPr>
        <w:lastRenderedPageBreak/>
        <w:drawing>
          <wp:anchor distT="0" distB="0" distL="114300" distR="114300" simplePos="0" relativeHeight="251687936" behindDoc="1" locked="0" layoutInCell="1" allowOverlap="1" wp14:anchorId="547C8C5C" wp14:editId="28AF3E57">
            <wp:simplePos x="0" y="0"/>
            <wp:positionH relativeFrom="column">
              <wp:posOffset>-469001</wp:posOffset>
            </wp:positionH>
            <wp:positionV relativeFrom="paragraph">
              <wp:posOffset>274955</wp:posOffset>
            </wp:positionV>
            <wp:extent cx="7099300" cy="7811770"/>
            <wp:effectExtent l="0" t="0" r="6350" b="0"/>
            <wp:wrapTight wrapText="bothSides">
              <wp:wrapPolygon edited="0">
                <wp:start x="0" y="0"/>
                <wp:lineTo x="0" y="21544"/>
                <wp:lineTo x="21561" y="21544"/>
                <wp:lineTo x="2156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GEM 2016-17 Statement of cash flows.jpg"/>
                    <pic:cNvPicPr/>
                  </pic:nvPicPr>
                  <pic:blipFill>
                    <a:blip r:embed="rId71">
                      <a:extLst>
                        <a:ext uri="{28A0092B-C50C-407E-A947-70E740481C1C}">
                          <a14:useLocalDpi xmlns:a14="http://schemas.microsoft.com/office/drawing/2010/main" val="0"/>
                        </a:ext>
                      </a:extLst>
                    </a:blip>
                    <a:stretch>
                      <a:fillRect/>
                    </a:stretch>
                  </pic:blipFill>
                  <pic:spPr>
                    <a:xfrm>
                      <a:off x="0" y="0"/>
                      <a:ext cx="7099300" cy="7811770"/>
                    </a:xfrm>
                    <a:prstGeom prst="rect">
                      <a:avLst/>
                    </a:prstGeom>
                  </pic:spPr>
                </pic:pic>
              </a:graphicData>
            </a:graphic>
            <wp14:sizeRelH relativeFrom="page">
              <wp14:pctWidth>0</wp14:pctWidth>
            </wp14:sizeRelH>
            <wp14:sizeRelV relativeFrom="page">
              <wp14:pctHeight>0</wp14:pctHeight>
            </wp14:sizeRelV>
          </wp:anchor>
        </w:drawing>
      </w:r>
      <w:r w:rsidR="00EA37B4" w:rsidRPr="00EA37B4">
        <w:t>Statement of cash flows</w:t>
      </w:r>
      <w:bookmarkEnd w:id="218"/>
      <w:bookmarkEnd w:id="219"/>
      <w:bookmarkEnd w:id="220"/>
    </w:p>
    <w:p w14:paraId="5F2DE7AB" w14:textId="2D43B11B" w:rsidR="00EA37B4" w:rsidRDefault="00EA37B4" w:rsidP="004D0C71">
      <w:pPr>
        <w:rPr>
          <w:highlight w:val="yellow"/>
        </w:rPr>
      </w:pPr>
    </w:p>
    <w:p w14:paraId="7F1D7969" w14:textId="77777777" w:rsidR="00EA37B4" w:rsidRDefault="00EA37B4" w:rsidP="007703EB">
      <w:pPr>
        <w:spacing w:before="0" w:after="0"/>
        <w:rPr>
          <w:rFonts w:ascii="Arial Bold" w:eastAsia="Times New Roman" w:hAnsi="Arial Bold"/>
          <w:b/>
          <w:i/>
          <w:color w:val="AB054C"/>
          <w:sz w:val="36"/>
          <w:highlight w:val="yellow"/>
          <w14:ligatures w14:val="standardContextual"/>
        </w:rPr>
      </w:pPr>
      <w:r>
        <w:rPr>
          <w:highlight w:val="yellow"/>
        </w:rPr>
        <w:br w:type="page"/>
      </w:r>
    </w:p>
    <w:p w14:paraId="28C7BFBC" w14:textId="087361C8" w:rsidR="00EA37B4" w:rsidRPr="00EA37B4" w:rsidRDefault="00EA37B4" w:rsidP="007703EB">
      <w:pPr>
        <w:pStyle w:val="Heading2"/>
      </w:pPr>
      <w:bookmarkStart w:id="221" w:name="_Toc492622967"/>
      <w:bookmarkStart w:id="222" w:name="_Toc460406693"/>
      <w:bookmarkStart w:id="223" w:name="_Toc460407072"/>
      <w:r w:rsidRPr="00EA37B4">
        <w:lastRenderedPageBreak/>
        <w:t>Notes to and forming part of the financial statements</w:t>
      </w:r>
      <w:bookmarkEnd w:id="221"/>
      <w:r w:rsidR="001E7E42">
        <w:t xml:space="preserve"> </w:t>
      </w:r>
      <w:bookmarkStart w:id="224" w:name="_Toc492622968"/>
      <w:bookmarkEnd w:id="222"/>
      <w:bookmarkEnd w:id="223"/>
      <w:r w:rsidR="005B453E">
        <w:t>2016-17</w:t>
      </w:r>
      <w:bookmarkEnd w:id="224"/>
    </w:p>
    <w:p w14:paraId="12135C40" w14:textId="419F51CB" w:rsidR="005B453E" w:rsidRDefault="007703EB">
      <w:pPr>
        <w:rPr>
          <w:noProof/>
          <w:lang w:val="en-AU" w:eastAsia="en-AU"/>
        </w:rPr>
      </w:pPr>
      <w:r>
        <w:rPr>
          <w:noProof/>
          <w:lang w:val="en-AU" w:eastAsia="en-AU"/>
        </w:rPr>
        <w:drawing>
          <wp:anchor distT="0" distB="0" distL="114300" distR="114300" simplePos="0" relativeHeight="251688960" behindDoc="1" locked="0" layoutInCell="1" allowOverlap="1" wp14:anchorId="20B2E30D" wp14:editId="1F48E55B">
            <wp:simplePos x="0" y="0"/>
            <wp:positionH relativeFrom="column">
              <wp:posOffset>-254000</wp:posOffset>
            </wp:positionH>
            <wp:positionV relativeFrom="paragraph">
              <wp:posOffset>130810</wp:posOffset>
            </wp:positionV>
            <wp:extent cx="6003925" cy="8128000"/>
            <wp:effectExtent l="0" t="0" r="0" b="6350"/>
            <wp:wrapTight wrapText="bothSides">
              <wp:wrapPolygon edited="0">
                <wp:start x="0" y="0"/>
                <wp:lineTo x="0" y="21566"/>
                <wp:lineTo x="21520" y="21566"/>
                <wp:lineTo x="2152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GEM 2016-17 Notes to and forming part of financial statementsp.1.jpg"/>
                    <pic:cNvPicPr/>
                  </pic:nvPicPr>
                  <pic:blipFill>
                    <a:blip r:embed="rId72">
                      <a:extLst>
                        <a:ext uri="{28A0092B-C50C-407E-A947-70E740481C1C}">
                          <a14:useLocalDpi xmlns:a14="http://schemas.microsoft.com/office/drawing/2010/main" val="0"/>
                        </a:ext>
                      </a:extLst>
                    </a:blip>
                    <a:stretch>
                      <a:fillRect/>
                    </a:stretch>
                  </pic:blipFill>
                  <pic:spPr>
                    <a:xfrm>
                      <a:off x="0" y="0"/>
                      <a:ext cx="6003925" cy="8128000"/>
                    </a:xfrm>
                    <a:prstGeom prst="rect">
                      <a:avLst/>
                    </a:prstGeom>
                  </pic:spPr>
                </pic:pic>
              </a:graphicData>
            </a:graphic>
            <wp14:sizeRelH relativeFrom="page">
              <wp14:pctWidth>0</wp14:pctWidth>
            </wp14:sizeRelH>
            <wp14:sizeRelV relativeFrom="page">
              <wp14:pctHeight>0</wp14:pctHeight>
            </wp14:sizeRelV>
          </wp:anchor>
        </w:drawing>
      </w:r>
      <w:r w:rsidR="005B453E">
        <w:rPr>
          <w:noProof/>
          <w:lang w:val="en-AU" w:eastAsia="en-AU"/>
        </w:rPr>
        <w:br w:type="page"/>
      </w:r>
    </w:p>
    <w:p w14:paraId="11C711F1" w14:textId="421AAA7B" w:rsidR="007703EB" w:rsidRPr="00EA37B4" w:rsidRDefault="007703EB" w:rsidP="007703EB">
      <w:pPr>
        <w:pStyle w:val="Heading2"/>
      </w:pPr>
      <w:r w:rsidRPr="00EA37B4">
        <w:lastRenderedPageBreak/>
        <w:t xml:space="preserve">Notes to and forming part of the financial statements </w:t>
      </w:r>
      <w:r>
        <w:t>2016-17 (cont’d)</w:t>
      </w:r>
    </w:p>
    <w:p w14:paraId="647ECB29" w14:textId="508057D7" w:rsidR="004D0C71" w:rsidRDefault="007703EB" w:rsidP="004D0C71">
      <w:pPr>
        <w:rPr>
          <w:rFonts w:ascii="Arial Bold" w:eastAsia="Times New Roman" w:hAnsi="Arial Bold"/>
          <w:b/>
          <w:i/>
          <w:color w:val="AB054C"/>
          <w:sz w:val="36"/>
          <w:highlight w:val="yellow"/>
          <w14:ligatures w14:val="standardContextual"/>
        </w:rPr>
      </w:pPr>
      <w:r>
        <w:rPr>
          <w:noProof/>
          <w:lang w:val="en-AU" w:eastAsia="en-AU"/>
        </w:rPr>
        <w:drawing>
          <wp:anchor distT="0" distB="0" distL="114300" distR="114300" simplePos="0" relativeHeight="251689984" behindDoc="1" locked="0" layoutInCell="1" allowOverlap="1" wp14:anchorId="646D89F9" wp14:editId="3BDCF6EA">
            <wp:simplePos x="0" y="0"/>
            <wp:positionH relativeFrom="column">
              <wp:posOffset>-261620</wp:posOffset>
            </wp:positionH>
            <wp:positionV relativeFrom="paragraph">
              <wp:posOffset>73025</wp:posOffset>
            </wp:positionV>
            <wp:extent cx="6029325" cy="7882255"/>
            <wp:effectExtent l="0" t="0" r="9525" b="4445"/>
            <wp:wrapTight wrapText="bothSides">
              <wp:wrapPolygon edited="0">
                <wp:start x="0" y="0"/>
                <wp:lineTo x="0" y="21560"/>
                <wp:lineTo x="21566" y="21560"/>
                <wp:lineTo x="2156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GEM 2016-17 Notes to and forming part of financial statementsp.2.jpg"/>
                    <pic:cNvPicPr/>
                  </pic:nvPicPr>
                  <pic:blipFill>
                    <a:blip r:embed="rId73">
                      <a:extLst>
                        <a:ext uri="{28A0092B-C50C-407E-A947-70E740481C1C}">
                          <a14:useLocalDpi xmlns:a14="http://schemas.microsoft.com/office/drawing/2010/main" val="0"/>
                        </a:ext>
                      </a:extLst>
                    </a:blip>
                    <a:stretch>
                      <a:fillRect/>
                    </a:stretch>
                  </pic:blipFill>
                  <pic:spPr>
                    <a:xfrm>
                      <a:off x="0" y="0"/>
                      <a:ext cx="6029325" cy="7882255"/>
                    </a:xfrm>
                    <a:prstGeom prst="rect">
                      <a:avLst/>
                    </a:prstGeom>
                  </pic:spPr>
                </pic:pic>
              </a:graphicData>
            </a:graphic>
            <wp14:sizeRelH relativeFrom="page">
              <wp14:pctWidth>0</wp14:pctWidth>
            </wp14:sizeRelH>
            <wp14:sizeRelV relativeFrom="page">
              <wp14:pctHeight>0</wp14:pctHeight>
            </wp14:sizeRelV>
          </wp:anchor>
        </w:drawing>
      </w:r>
      <w:r w:rsidR="004D0C71">
        <w:rPr>
          <w:highlight w:val="yellow"/>
        </w:rPr>
        <w:br w:type="page"/>
      </w:r>
    </w:p>
    <w:p w14:paraId="6F44BE68" w14:textId="0AB32C53" w:rsidR="00EA37B4" w:rsidRPr="004D0C71" w:rsidRDefault="00913AA5" w:rsidP="007703EB">
      <w:pPr>
        <w:pStyle w:val="Heading2"/>
      </w:pPr>
      <w:r w:rsidRPr="007703EB">
        <w:rPr>
          <w:noProof/>
          <w:lang w:val="en-AU" w:eastAsia="en-AU"/>
        </w:rPr>
        <w:lastRenderedPageBreak/>
        <w:drawing>
          <wp:anchor distT="0" distB="0" distL="114300" distR="114300" simplePos="0" relativeHeight="251691008" behindDoc="1" locked="0" layoutInCell="1" allowOverlap="1" wp14:anchorId="79CA3F04" wp14:editId="72E60711">
            <wp:simplePos x="0" y="0"/>
            <wp:positionH relativeFrom="column">
              <wp:posOffset>-202565</wp:posOffset>
            </wp:positionH>
            <wp:positionV relativeFrom="paragraph">
              <wp:posOffset>558165</wp:posOffset>
            </wp:positionV>
            <wp:extent cx="6298565" cy="7375525"/>
            <wp:effectExtent l="0" t="0" r="6985" b="0"/>
            <wp:wrapTight wrapText="bothSides">
              <wp:wrapPolygon edited="0">
                <wp:start x="0" y="0"/>
                <wp:lineTo x="0" y="21535"/>
                <wp:lineTo x="21559" y="21535"/>
                <wp:lineTo x="215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GEM 2016-17 Notes to and forming part of financial statementsp.3.jpg"/>
                    <pic:cNvPicPr/>
                  </pic:nvPicPr>
                  <pic:blipFill>
                    <a:blip r:embed="rId74">
                      <a:extLst>
                        <a:ext uri="{28A0092B-C50C-407E-A947-70E740481C1C}">
                          <a14:useLocalDpi xmlns:a14="http://schemas.microsoft.com/office/drawing/2010/main" val="0"/>
                        </a:ext>
                      </a:extLst>
                    </a:blip>
                    <a:stretch>
                      <a:fillRect/>
                    </a:stretch>
                  </pic:blipFill>
                  <pic:spPr>
                    <a:xfrm>
                      <a:off x="0" y="0"/>
                      <a:ext cx="6298565" cy="7375525"/>
                    </a:xfrm>
                    <a:prstGeom prst="rect">
                      <a:avLst/>
                    </a:prstGeom>
                  </pic:spPr>
                </pic:pic>
              </a:graphicData>
            </a:graphic>
            <wp14:sizeRelH relativeFrom="page">
              <wp14:pctWidth>0</wp14:pctWidth>
            </wp14:sizeRelH>
            <wp14:sizeRelV relativeFrom="page">
              <wp14:pctHeight>0</wp14:pctHeight>
            </wp14:sizeRelV>
          </wp:anchor>
        </w:drawing>
      </w:r>
      <w:r w:rsidR="00EA37B4" w:rsidRPr="007703EB">
        <w:t>Notes</w:t>
      </w:r>
      <w:r w:rsidR="00EA37B4" w:rsidRPr="004D0C71">
        <w:t xml:space="preserve"> to and forming part of the financial statements </w:t>
      </w:r>
      <w:r w:rsidR="00E04C32">
        <w:br/>
      </w:r>
      <w:r w:rsidR="005B453E">
        <w:t>2016-17</w:t>
      </w:r>
      <w:r w:rsidR="005B453E" w:rsidRPr="004D0C71">
        <w:t xml:space="preserve"> </w:t>
      </w:r>
      <w:r w:rsidR="00EA37B4" w:rsidRPr="004D0C71">
        <w:t>(cont</w:t>
      </w:r>
      <w:r w:rsidR="004D0C71" w:rsidRPr="004D0C71">
        <w:t>’d</w:t>
      </w:r>
      <w:r w:rsidR="00EA37B4" w:rsidRPr="004D0C71">
        <w:t>)</w:t>
      </w:r>
    </w:p>
    <w:p w14:paraId="3B4985CE" w14:textId="75E5C493" w:rsidR="005B453E" w:rsidRDefault="005B453E">
      <w:pPr>
        <w:rPr>
          <w:noProof/>
          <w:lang w:val="en-AU" w:eastAsia="en-AU"/>
        </w:rPr>
      </w:pPr>
      <w:r>
        <w:rPr>
          <w:noProof/>
          <w:lang w:val="en-AU" w:eastAsia="en-AU"/>
        </w:rPr>
        <w:br w:type="page"/>
      </w:r>
    </w:p>
    <w:p w14:paraId="0E9F0A94" w14:textId="39A08764" w:rsidR="00EA37B4" w:rsidRPr="004D0C71" w:rsidRDefault="00E04C32" w:rsidP="007703EB">
      <w:pPr>
        <w:pStyle w:val="Heading2"/>
      </w:pPr>
      <w:r w:rsidRPr="007703EB">
        <w:rPr>
          <w:b/>
          <w:noProof/>
          <w:lang w:val="en-AU" w:eastAsia="en-AU"/>
        </w:rPr>
        <w:lastRenderedPageBreak/>
        <w:drawing>
          <wp:anchor distT="0" distB="0" distL="114300" distR="114300" simplePos="0" relativeHeight="251692032" behindDoc="1" locked="0" layoutInCell="1" allowOverlap="1" wp14:anchorId="092F2B89" wp14:editId="63C2DEDC">
            <wp:simplePos x="0" y="0"/>
            <wp:positionH relativeFrom="column">
              <wp:posOffset>-210820</wp:posOffset>
            </wp:positionH>
            <wp:positionV relativeFrom="paragraph">
              <wp:posOffset>656590</wp:posOffset>
            </wp:positionV>
            <wp:extent cx="6064370" cy="8076802"/>
            <wp:effectExtent l="0" t="0" r="0" b="635"/>
            <wp:wrapTight wrapText="bothSides">
              <wp:wrapPolygon edited="0">
                <wp:start x="0" y="0"/>
                <wp:lineTo x="0" y="21551"/>
                <wp:lineTo x="21510" y="21551"/>
                <wp:lineTo x="2151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GEM 2016-17 Notes to and forming part of financial statementsp.4.jpg"/>
                    <pic:cNvPicPr/>
                  </pic:nvPicPr>
                  <pic:blipFill>
                    <a:blip r:embed="rId75">
                      <a:extLst>
                        <a:ext uri="{28A0092B-C50C-407E-A947-70E740481C1C}">
                          <a14:useLocalDpi xmlns:a14="http://schemas.microsoft.com/office/drawing/2010/main" val="0"/>
                        </a:ext>
                      </a:extLst>
                    </a:blip>
                    <a:stretch>
                      <a:fillRect/>
                    </a:stretch>
                  </pic:blipFill>
                  <pic:spPr>
                    <a:xfrm>
                      <a:off x="0" y="0"/>
                      <a:ext cx="6064370" cy="8076802"/>
                    </a:xfrm>
                    <a:prstGeom prst="rect">
                      <a:avLst/>
                    </a:prstGeom>
                  </pic:spPr>
                </pic:pic>
              </a:graphicData>
            </a:graphic>
            <wp14:sizeRelH relativeFrom="page">
              <wp14:pctWidth>0</wp14:pctWidth>
            </wp14:sizeRelH>
            <wp14:sizeRelV relativeFrom="page">
              <wp14:pctHeight>0</wp14:pctHeight>
            </wp14:sizeRelV>
          </wp:anchor>
        </w:drawing>
      </w:r>
      <w:r w:rsidR="00EA37B4" w:rsidRPr="007703EB">
        <w:rPr>
          <w:b/>
        </w:rPr>
        <w:t>Notes</w:t>
      </w:r>
      <w:r w:rsidR="00EA37B4" w:rsidRPr="004D0C71">
        <w:t xml:space="preserve"> to and forming part of the financial statements </w:t>
      </w:r>
      <w:r>
        <w:br/>
      </w:r>
      <w:r w:rsidR="005B453E">
        <w:rPr>
          <w:b/>
        </w:rPr>
        <w:t>2016-17</w:t>
      </w:r>
      <w:r w:rsidR="005B453E" w:rsidRPr="004D0C71">
        <w:rPr>
          <w:b/>
        </w:rPr>
        <w:t xml:space="preserve"> </w:t>
      </w:r>
      <w:r w:rsidR="00EA37B4" w:rsidRPr="004D0C71">
        <w:t>(cont</w:t>
      </w:r>
      <w:r w:rsidR="004D0C71" w:rsidRPr="004D0C71">
        <w:t>’d</w:t>
      </w:r>
      <w:r w:rsidR="00EA37B4" w:rsidRPr="004D0C71">
        <w:t>)</w:t>
      </w:r>
    </w:p>
    <w:p w14:paraId="066581F9" w14:textId="4D75C201" w:rsidR="004D0C71" w:rsidRDefault="004D0C71" w:rsidP="004D0C71">
      <w:pPr>
        <w:rPr>
          <w:rFonts w:ascii="Arial Bold" w:eastAsia="Times New Roman" w:hAnsi="Arial Bold"/>
          <w:b/>
          <w:i/>
          <w:color w:val="AB054C"/>
          <w:sz w:val="36"/>
          <w14:ligatures w14:val="standardContextual"/>
        </w:rPr>
      </w:pPr>
      <w:r>
        <w:br w:type="page"/>
      </w:r>
    </w:p>
    <w:p w14:paraId="7F37D564" w14:textId="576A99C8" w:rsidR="00EA37B4" w:rsidRPr="004D0C71" w:rsidRDefault="00EA37B4" w:rsidP="007703EB">
      <w:pPr>
        <w:pStyle w:val="Heading2"/>
      </w:pPr>
      <w:r w:rsidRPr="004D0C71">
        <w:lastRenderedPageBreak/>
        <w:t xml:space="preserve">Notes to and forming part of the financial statements </w:t>
      </w:r>
      <w:r w:rsidR="00E04C32">
        <w:br/>
      </w:r>
      <w:r w:rsidR="005B453E">
        <w:t>2016-17</w:t>
      </w:r>
      <w:r w:rsidR="005B453E" w:rsidRPr="004D0C71">
        <w:t xml:space="preserve"> </w:t>
      </w:r>
      <w:r w:rsidRPr="004D0C71">
        <w:t>(cont</w:t>
      </w:r>
      <w:r w:rsidR="004D0C71" w:rsidRPr="004D0C71">
        <w:t>’d</w:t>
      </w:r>
      <w:r w:rsidRPr="004D0C71">
        <w:t>)</w:t>
      </w:r>
    </w:p>
    <w:p w14:paraId="1C02566A" w14:textId="2F9A6CBE" w:rsidR="005B453E" w:rsidRDefault="00913AA5">
      <w:pPr>
        <w:rPr>
          <w:noProof/>
          <w:lang w:val="en-AU" w:eastAsia="en-AU"/>
        </w:rPr>
      </w:pPr>
      <w:r>
        <w:rPr>
          <w:noProof/>
          <w:lang w:val="en-AU" w:eastAsia="en-AU"/>
        </w:rPr>
        <w:drawing>
          <wp:anchor distT="0" distB="0" distL="114300" distR="114300" simplePos="0" relativeHeight="251693056" behindDoc="1" locked="0" layoutInCell="1" allowOverlap="1" wp14:anchorId="28315D8D" wp14:editId="5B5E52C9">
            <wp:simplePos x="0" y="0"/>
            <wp:positionH relativeFrom="column">
              <wp:posOffset>-211455</wp:posOffset>
            </wp:positionH>
            <wp:positionV relativeFrom="paragraph">
              <wp:posOffset>133350</wp:posOffset>
            </wp:positionV>
            <wp:extent cx="5910580" cy="7702550"/>
            <wp:effectExtent l="0" t="0" r="0" b="0"/>
            <wp:wrapTight wrapText="bothSides">
              <wp:wrapPolygon edited="0">
                <wp:start x="0" y="0"/>
                <wp:lineTo x="0" y="21529"/>
                <wp:lineTo x="21512" y="21529"/>
                <wp:lineTo x="2151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GEM 2016-17 Notes to and forming part of financial statementsp.5.jpg"/>
                    <pic:cNvPicPr/>
                  </pic:nvPicPr>
                  <pic:blipFill>
                    <a:blip r:embed="rId76">
                      <a:extLst>
                        <a:ext uri="{28A0092B-C50C-407E-A947-70E740481C1C}">
                          <a14:useLocalDpi xmlns:a14="http://schemas.microsoft.com/office/drawing/2010/main" val="0"/>
                        </a:ext>
                      </a:extLst>
                    </a:blip>
                    <a:stretch>
                      <a:fillRect/>
                    </a:stretch>
                  </pic:blipFill>
                  <pic:spPr>
                    <a:xfrm>
                      <a:off x="0" y="0"/>
                      <a:ext cx="5910580" cy="7702550"/>
                    </a:xfrm>
                    <a:prstGeom prst="rect">
                      <a:avLst/>
                    </a:prstGeom>
                  </pic:spPr>
                </pic:pic>
              </a:graphicData>
            </a:graphic>
            <wp14:sizeRelH relativeFrom="page">
              <wp14:pctWidth>0</wp14:pctWidth>
            </wp14:sizeRelH>
            <wp14:sizeRelV relativeFrom="page">
              <wp14:pctHeight>0</wp14:pctHeight>
            </wp14:sizeRelV>
          </wp:anchor>
        </w:drawing>
      </w:r>
      <w:r w:rsidR="005B453E">
        <w:rPr>
          <w:noProof/>
          <w:lang w:val="en-AU" w:eastAsia="en-AU"/>
        </w:rPr>
        <w:br w:type="page"/>
      </w:r>
    </w:p>
    <w:p w14:paraId="20B9E85E" w14:textId="78325B54" w:rsidR="00860E40" w:rsidRPr="004D0C71" w:rsidRDefault="00860E40" w:rsidP="007703EB">
      <w:pPr>
        <w:pStyle w:val="Heading2"/>
      </w:pPr>
      <w:r w:rsidRPr="007703EB">
        <w:lastRenderedPageBreak/>
        <w:t>Notes</w:t>
      </w:r>
      <w:r w:rsidRPr="004D0C71">
        <w:t xml:space="preserve"> to and forming part of the financial statements </w:t>
      </w:r>
      <w:r w:rsidR="00E04C32">
        <w:br/>
      </w:r>
      <w:r w:rsidR="005B453E">
        <w:t>2016-17</w:t>
      </w:r>
      <w:r w:rsidR="005B453E" w:rsidRPr="004D0C71">
        <w:t xml:space="preserve"> </w:t>
      </w:r>
      <w:r w:rsidRPr="004D0C71">
        <w:t>(cont</w:t>
      </w:r>
      <w:r w:rsidR="004D0C71" w:rsidRPr="004D0C71">
        <w:t>’d</w:t>
      </w:r>
      <w:r w:rsidRPr="004D0C71">
        <w:t>)</w:t>
      </w:r>
    </w:p>
    <w:p w14:paraId="1714190B" w14:textId="3EE69CB1" w:rsidR="005B453E" w:rsidRDefault="00913AA5">
      <w:pPr>
        <w:rPr>
          <w:noProof/>
          <w:lang w:val="en-AU" w:eastAsia="en-AU"/>
        </w:rPr>
      </w:pPr>
      <w:r w:rsidRPr="007703EB">
        <w:rPr>
          <w:i/>
          <w:noProof/>
          <w:lang w:val="en-AU" w:eastAsia="en-AU"/>
        </w:rPr>
        <w:drawing>
          <wp:anchor distT="0" distB="0" distL="114300" distR="114300" simplePos="0" relativeHeight="251694080" behindDoc="1" locked="0" layoutInCell="1" allowOverlap="1" wp14:anchorId="4DBC647D" wp14:editId="18AEBA60">
            <wp:simplePos x="0" y="0"/>
            <wp:positionH relativeFrom="column">
              <wp:posOffset>-185420</wp:posOffset>
            </wp:positionH>
            <wp:positionV relativeFrom="paragraph">
              <wp:posOffset>184785</wp:posOffset>
            </wp:positionV>
            <wp:extent cx="5814060" cy="7840345"/>
            <wp:effectExtent l="0" t="0" r="0" b="8255"/>
            <wp:wrapTight wrapText="bothSides">
              <wp:wrapPolygon edited="0">
                <wp:start x="0" y="0"/>
                <wp:lineTo x="0" y="21570"/>
                <wp:lineTo x="21515" y="21570"/>
                <wp:lineTo x="2151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GEM 2016-17 Notes to and forming part of financial statementsp.6.jpg"/>
                    <pic:cNvPicPr/>
                  </pic:nvPicPr>
                  <pic:blipFill>
                    <a:blip r:embed="rId77">
                      <a:extLst>
                        <a:ext uri="{28A0092B-C50C-407E-A947-70E740481C1C}">
                          <a14:useLocalDpi xmlns:a14="http://schemas.microsoft.com/office/drawing/2010/main" val="0"/>
                        </a:ext>
                      </a:extLst>
                    </a:blip>
                    <a:stretch>
                      <a:fillRect/>
                    </a:stretch>
                  </pic:blipFill>
                  <pic:spPr>
                    <a:xfrm>
                      <a:off x="0" y="0"/>
                      <a:ext cx="5814060" cy="7840345"/>
                    </a:xfrm>
                    <a:prstGeom prst="rect">
                      <a:avLst/>
                    </a:prstGeom>
                  </pic:spPr>
                </pic:pic>
              </a:graphicData>
            </a:graphic>
            <wp14:sizeRelH relativeFrom="page">
              <wp14:pctWidth>0</wp14:pctWidth>
            </wp14:sizeRelH>
            <wp14:sizeRelV relativeFrom="page">
              <wp14:pctHeight>0</wp14:pctHeight>
            </wp14:sizeRelV>
          </wp:anchor>
        </w:drawing>
      </w:r>
      <w:r w:rsidR="005B453E">
        <w:rPr>
          <w:noProof/>
          <w:lang w:val="en-AU" w:eastAsia="en-AU"/>
        </w:rPr>
        <w:br w:type="page"/>
      </w:r>
    </w:p>
    <w:p w14:paraId="27377848" w14:textId="77777777" w:rsidR="00EA37B4" w:rsidRDefault="00EA37B4" w:rsidP="00EA37B4">
      <w:pPr>
        <w:rPr>
          <w:highlight w:val="yellow"/>
        </w:rPr>
      </w:pPr>
    </w:p>
    <w:p w14:paraId="79118BFE" w14:textId="79FCDD41" w:rsidR="00860E40" w:rsidRPr="004D0C71" w:rsidRDefault="00E04C32" w:rsidP="007703EB">
      <w:pPr>
        <w:pStyle w:val="Heading2"/>
      </w:pPr>
      <w:r>
        <w:rPr>
          <w:noProof/>
          <w:lang w:val="en-AU" w:eastAsia="en-AU"/>
        </w:rPr>
        <w:drawing>
          <wp:anchor distT="0" distB="0" distL="114300" distR="114300" simplePos="0" relativeHeight="251695104" behindDoc="1" locked="0" layoutInCell="1" allowOverlap="1" wp14:anchorId="48D2C43A" wp14:editId="792F37D0">
            <wp:simplePos x="0" y="0"/>
            <wp:positionH relativeFrom="column">
              <wp:posOffset>-271780</wp:posOffset>
            </wp:positionH>
            <wp:positionV relativeFrom="paragraph">
              <wp:posOffset>620395</wp:posOffset>
            </wp:positionV>
            <wp:extent cx="6176010" cy="7549515"/>
            <wp:effectExtent l="0" t="0" r="0" b="0"/>
            <wp:wrapTight wrapText="bothSides">
              <wp:wrapPolygon edited="0">
                <wp:start x="0" y="0"/>
                <wp:lineTo x="0" y="21529"/>
                <wp:lineTo x="21520" y="21529"/>
                <wp:lineTo x="21520"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GEM 2016-17 Notes to and forming part of financial statementsp.7.jpg"/>
                    <pic:cNvPicPr/>
                  </pic:nvPicPr>
                  <pic:blipFill>
                    <a:blip r:embed="rId78">
                      <a:extLst>
                        <a:ext uri="{28A0092B-C50C-407E-A947-70E740481C1C}">
                          <a14:useLocalDpi xmlns:a14="http://schemas.microsoft.com/office/drawing/2010/main" val="0"/>
                        </a:ext>
                      </a:extLst>
                    </a:blip>
                    <a:stretch>
                      <a:fillRect/>
                    </a:stretch>
                  </pic:blipFill>
                  <pic:spPr>
                    <a:xfrm>
                      <a:off x="0" y="0"/>
                      <a:ext cx="6176010" cy="7549515"/>
                    </a:xfrm>
                    <a:prstGeom prst="rect">
                      <a:avLst/>
                    </a:prstGeom>
                  </pic:spPr>
                </pic:pic>
              </a:graphicData>
            </a:graphic>
            <wp14:sizeRelH relativeFrom="page">
              <wp14:pctWidth>0</wp14:pctWidth>
            </wp14:sizeRelH>
            <wp14:sizeRelV relativeFrom="page">
              <wp14:pctHeight>0</wp14:pctHeight>
            </wp14:sizeRelV>
          </wp:anchor>
        </w:drawing>
      </w:r>
      <w:r w:rsidR="00860E40" w:rsidRPr="004D0C71">
        <w:t xml:space="preserve">Notes to and forming part of the financial statements </w:t>
      </w:r>
      <w:r w:rsidR="005B453E">
        <w:t>2016-17</w:t>
      </w:r>
      <w:r w:rsidR="005B453E" w:rsidRPr="004D0C71">
        <w:t xml:space="preserve"> </w:t>
      </w:r>
      <w:r w:rsidR="00860E40" w:rsidRPr="004D0C71">
        <w:t>(cont</w:t>
      </w:r>
      <w:r w:rsidR="004D0C71" w:rsidRPr="004D0C71">
        <w:t>’d</w:t>
      </w:r>
      <w:r w:rsidR="00860E40" w:rsidRPr="004D0C71">
        <w:t>)</w:t>
      </w:r>
    </w:p>
    <w:p w14:paraId="313476AD" w14:textId="1EFA0E21" w:rsidR="005B453E" w:rsidRDefault="005B453E">
      <w:pPr>
        <w:rPr>
          <w:noProof/>
          <w:lang w:val="en-AU" w:eastAsia="en-AU"/>
        </w:rPr>
      </w:pPr>
      <w:r>
        <w:rPr>
          <w:noProof/>
          <w:lang w:val="en-AU" w:eastAsia="en-AU"/>
        </w:rPr>
        <w:br w:type="page"/>
      </w:r>
    </w:p>
    <w:p w14:paraId="7127976C" w14:textId="77777777" w:rsidR="00860E40" w:rsidRDefault="00860E40" w:rsidP="00EA37B4">
      <w:pPr>
        <w:rPr>
          <w:highlight w:val="yellow"/>
        </w:rPr>
      </w:pPr>
    </w:p>
    <w:p w14:paraId="44B997CD" w14:textId="5BCB70BC" w:rsidR="00860E40" w:rsidRPr="004D0C71" w:rsidRDefault="00913AA5" w:rsidP="007703EB">
      <w:pPr>
        <w:pStyle w:val="Heading2"/>
      </w:pPr>
      <w:r>
        <w:rPr>
          <w:noProof/>
          <w:lang w:val="en-AU" w:eastAsia="en-AU"/>
        </w:rPr>
        <w:drawing>
          <wp:anchor distT="0" distB="0" distL="114300" distR="114300" simplePos="0" relativeHeight="251696128" behindDoc="1" locked="0" layoutInCell="1" allowOverlap="1" wp14:anchorId="5DB7E627" wp14:editId="3AFAC65D">
            <wp:simplePos x="0" y="0"/>
            <wp:positionH relativeFrom="column">
              <wp:posOffset>-185420</wp:posOffset>
            </wp:positionH>
            <wp:positionV relativeFrom="paragraph">
              <wp:posOffset>659130</wp:posOffset>
            </wp:positionV>
            <wp:extent cx="6892290" cy="5448935"/>
            <wp:effectExtent l="0" t="0" r="3810" b="0"/>
            <wp:wrapTight wrapText="bothSides">
              <wp:wrapPolygon edited="0">
                <wp:start x="0" y="0"/>
                <wp:lineTo x="0" y="21522"/>
                <wp:lineTo x="21552" y="21522"/>
                <wp:lineTo x="21552"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GEM 2016-17 Notes to and forming part of financial statementsp.8.jpg"/>
                    <pic:cNvPicPr/>
                  </pic:nvPicPr>
                  <pic:blipFill>
                    <a:blip r:embed="rId79">
                      <a:extLst>
                        <a:ext uri="{28A0092B-C50C-407E-A947-70E740481C1C}">
                          <a14:useLocalDpi xmlns:a14="http://schemas.microsoft.com/office/drawing/2010/main" val="0"/>
                        </a:ext>
                      </a:extLst>
                    </a:blip>
                    <a:stretch>
                      <a:fillRect/>
                    </a:stretch>
                  </pic:blipFill>
                  <pic:spPr>
                    <a:xfrm>
                      <a:off x="0" y="0"/>
                      <a:ext cx="6892290" cy="5448935"/>
                    </a:xfrm>
                    <a:prstGeom prst="rect">
                      <a:avLst/>
                    </a:prstGeom>
                  </pic:spPr>
                </pic:pic>
              </a:graphicData>
            </a:graphic>
            <wp14:sizeRelH relativeFrom="page">
              <wp14:pctWidth>0</wp14:pctWidth>
            </wp14:sizeRelH>
            <wp14:sizeRelV relativeFrom="page">
              <wp14:pctHeight>0</wp14:pctHeight>
            </wp14:sizeRelV>
          </wp:anchor>
        </w:drawing>
      </w:r>
      <w:r w:rsidR="00860E40" w:rsidRPr="004D0C71">
        <w:t xml:space="preserve">Notes to and forming part of the financial statements </w:t>
      </w:r>
      <w:r w:rsidR="00E04C32">
        <w:br/>
      </w:r>
      <w:r w:rsidR="005B453E">
        <w:t>2016-17</w:t>
      </w:r>
      <w:r w:rsidR="005B453E" w:rsidRPr="004D0C71">
        <w:t xml:space="preserve"> </w:t>
      </w:r>
      <w:r w:rsidR="00860E40" w:rsidRPr="004D0C71">
        <w:t>(cont</w:t>
      </w:r>
      <w:r w:rsidR="004D0C71" w:rsidRPr="004D0C71">
        <w:t>’d</w:t>
      </w:r>
      <w:r w:rsidR="00860E40" w:rsidRPr="004D0C71">
        <w:t>)</w:t>
      </w:r>
    </w:p>
    <w:p w14:paraId="1F015BDB" w14:textId="56DF9E5E" w:rsidR="005B453E" w:rsidRDefault="005B453E">
      <w:pPr>
        <w:rPr>
          <w:noProof/>
          <w:lang w:val="en-AU" w:eastAsia="en-AU"/>
        </w:rPr>
      </w:pPr>
      <w:r>
        <w:rPr>
          <w:noProof/>
          <w:lang w:val="en-AU" w:eastAsia="en-AU"/>
        </w:rPr>
        <w:br w:type="page"/>
      </w:r>
    </w:p>
    <w:p w14:paraId="1B7C46F3" w14:textId="0BF8BE32" w:rsidR="00860E40" w:rsidRDefault="00860E40">
      <w:pPr>
        <w:rPr>
          <w:highlight w:val="yellow"/>
        </w:rPr>
      </w:pPr>
    </w:p>
    <w:p w14:paraId="122DA5DF" w14:textId="60A533BE" w:rsidR="00860E40" w:rsidRPr="004D0C71" w:rsidRDefault="00266E17" w:rsidP="007703EB">
      <w:pPr>
        <w:pStyle w:val="Heading2"/>
      </w:pPr>
      <w:r>
        <w:rPr>
          <w:noProof/>
          <w:lang w:val="en-AU" w:eastAsia="en-AU"/>
        </w:rPr>
        <w:drawing>
          <wp:anchor distT="0" distB="0" distL="114300" distR="114300" simplePos="0" relativeHeight="251697152" behindDoc="1" locked="0" layoutInCell="1" allowOverlap="1" wp14:anchorId="3B31CFA1" wp14:editId="7D49D1DC">
            <wp:simplePos x="0" y="0"/>
            <wp:positionH relativeFrom="column">
              <wp:posOffset>-340360</wp:posOffset>
            </wp:positionH>
            <wp:positionV relativeFrom="paragraph">
              <wp:posOffset>581660</wp:posOffset>
            </wp:positionV>
            <wp:extent cx="6995795" cy="7404735"/>
            <wp:effectExtent l="0" t="0" r="0" b="5715"/>
            <wp:wrapTight wrapText="bothSides">
              <wp:wrapPolygon edited="0">
                <wp:start x="0" y="0"/>
                <wp:lineTo x="0" y="21561"/>
                <wp:lineTo x="21527" y="21561"/>
                <wp:lineTo x="2152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GEM 2016-17 Notes to and forming part of financial statementsp.9.jpg"/>
                    <pic:cNvPicPr/>
                  </pic:nvPicPr>
                  <pic:blipFill>
                    <a:blip r:embed="rId80">
                      <a:extLst>
                        <a:ext uri="{28A0092B-C50C-407E-A947-70E740481C1C}">
                          <a14:useLocalDpi xmlns:a14="http://schemas.microsoft.com/office/drawing/2010/main" val="0"/>
                        </a:ext>
                      </a:extLst>
                    </a:blip>
                    <a:stretch>
                      <a:fillRect/>
                    </a:stretch>
                  </pic:blipFill>
                  <pic:spPr>
                    <a:xfrm>
                      <a:off x="0" y="0"/>
                      <a:ext cx="6995795" cy="7404735"/>
                    </a:xfrm>
                    <a:prstGeom prst="rect">
                      <a:avLst/>
                    </a:prstGeom>
                  </pic:spPr>
                </pic:pic>
              </a:graphicData>
            </a:graphic>
            <wp14:sizeRelH relativeFrom="page">
              <wp14:pctWidth>0</wp14:pctWidth>
            </wp14:sizeRelH>
            <wp14:sizeRelV relativeFrom="page">
              <wp14:pctHeight>0</wp14:pctHeight>
            </wp14:sizeRelV>
          </wp:anchor>
        </w:drawing>
      </w:r>
      <w:r w:rsidR="00860E40" w:rsidRPr="004D0C71">
        <w:t xml:space="preserve">Notes to and forming part of the financial statements </w:t>
      </w:r>
      <w:r>
        <w:br/>
      </w:r>
      <w:r w:rsidR="005B453E">
        <w:rPr>
          <w:b/>
        </w:rPr>
        <w:t>2016-17</w:t>
      </w:r>
      <w:r w:rsidR="005B453E" w:rsidRPr="004D0C71">
        <w:rPr>
          <w:b/>
        </w:rPr>
        <w:t xml:space="preserve"> </w:t>
      </w:r>
      <w:r w:rsidR="00860E40" w:rsidRPr="004D0C71">
        <w:t>(</w:t>
      </w:r>
      <w:r w:rsidR="00860E40" w:rsidRPr="007703EB">
        <w:rPr>
          <w:b/>
        </w:rPr>
        <w:t>cont</w:t>
      </w:r>
      <w:r w:rsidR="004D0C71" w:rsidRPr="007703EB">
        <w:rPr>
          <w:b/>
        </w:rPr>
        <w:t>’d</w:t>
      </w:r>
      <w:r w:rsidR="00860E40" w:rsidRPr="004D0C71">
        <w:t>)</w:t>
      </w:r>
    </w:p>
    <w:p w14:paraId="7C411029" w14:textId="56B355AA" w:rsidR="005B453E" w:rsidRDefault="005B453E">
      <w:pPr>
        <w:rPr>
          <w:noProof/>
          <w:lang w:val="en-AU" w:eastAsia="en-AU"/>
        </w:rPr>
      </w:pPr>
      <w:r>
        <w:rPr>
          <w:noProof/>
          <w:lang w:val="en-AU" w:eastAsia="en-AU"/>
        </w:rPr>
        <w:br w:type="page"/>
      </w:r>
    </w:p>
    <w:p w14:paraId="36116323" w14:textId="77777777" w:rsidR="00860E40" w:rsidRDefault="00860E40">
      <w:pPr>
        <w:rPr>
          <w:highlight w:val="yellow"/>
        </w:rPr>
      </w:pPr>
    </w:p>
    <w:p w14:paraId="6715DEEA" w14:textId="2E677926" w:rsidR="00860E40" w:rsidRPr="007703EB" w:rsidRDefault="00913AA5" w:rsidP="007703EB">
      <w:pPr>
        <w:pStyle w:val="Heading2"/>
      </w:pPr>
      <w:r w:rsidRPr="007703EB">
        <w:rPr>
          <w:noProof/>
          <w:lang w:val="en-AU" w:eastAsia="en-AU"/>
        </w:rPr>
        <w:drawing>
          <wp:anchor distT="0" distB="0" distL="114300" distR="114300" simplePos="0" relativeHeight="251698176" behindDoc="1" locked="0" layoutInCell="1" allowOverlap="1" wp14:anchorId="3EB76554" wp14:editId="1C3D61BE">
            <wp:simplePos x="0" y="0"/>
            <wp:positionH relativeFrom="column">
              <wp:posOffset>-237490</wp:posOffset>
            </wp:positionH>
            <wp:positionV relativeFrom="paragraph">
              <wp:posOffset>642620</wp:posOffset>
            </wp:positionV>
            <wp:extent cx="6978650" cy="4787900"/>
            <wp:effectExtent l="0" t="0" r="0" b="0"/>
            <wp:wrapTight wrapText="bothSides">
              <wp:wrapPolygon edited="0">
                <wp:start x="0" y="0"/>
                <wp:lineTo x="0" y="21485"/>
                <wp:lineTo x="21521" y="21485"/>
                <wp:lineTo x="2152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GEM 2016-17 Notes to and forming part of financial statementsp.10.jpg"/>
                    <pic:cNvPicPr/>
                  </pic:nvPicPr>
                  <pic:blipFill>
                    <a:blip r:embed="rId81">
                      <a:extLst>
                        <a:ext uri="{28A0092B-C50C-407E-A947-70E740481C1C}">
                          <a14:useLocalDpi xmlns:a14="http://schemas.microsoft.com/office/drawing/2010/main" val="0"/>
                        </a:ext>
                      </a:extLst>
                    </a:blip>
                    <a:stretch>
                      <a:fillRect/>
                    </a:stretch>
                  </pic:blipFill>
                  <pic:spPr>
                    <a:xfrm>
                      <a:off x="0" y="0"/>
                      <a:ext cx="6978650" cy="4787900"/>
                    </a:xfrm>
                    <a:prstGeom prst="rect">
                      <a:avLst/>
                    </a:prstGeom>
                  </pic:spPr>
                </pic:pic>
              </a:graphicData>
            </a:graphic>
            <wp14:sizeRelH relativeFrom="page">
              <wp14:pctWidth>0</wp14:pctWidth>
            </wp14:sizeRelH>
            <wp14:sizeRelV relativeFrom="page">
              <wp14:pctHeight>0</wp14:pctHeight>
            </wp14:sizeRelV>
          </wp:anchor>
        </w:drawing>
      </w:r>
      <w:r w:rsidR="00860E40" w:rsidRPr="007703EB">
        <w:t xml:space="preserve">Notes to and forming part </w:t>
      </w:r>
      <w:r w:rsidR="005B453E" w:rsidRPr="007703EB">
        <w:t xml:space="preserve">of the financial statements </w:t>
      </w:r>
      <w:r w:rsidR="00266E17" w:rsidRPr="007703EB">
        <w:br/>
      </w:r>
      <w:r w:rsidR="005B453E" w:rsidRPr="007703EB">
        <w:t>2016-17</w:t>
      </w:r>
      <w:r w:rsidR="00860E40" w:rsidRPr="007703EB">
        <w:t xml:space="preserve"> (con</w:t>
      </w:r>
      <w:r w:rsidR="004D0C71" w:rsidRPr="007703EB">
        <w:t>t’d</w:t>
      </w:r>
      <w:r w:rsidR="00860E40" w:rsidRPr="007703EB">
        <w:t>)</w:t>
      </w:r>
    </w:p>
    <w:p w14:paraId="4D15B81C" w14:textId="68340317" w:rsidR="005B453E" w:rsidRDefault="005B453E">
      <w:pPr>
        <w:rPr>
          <w:noProof/>
          <w:lang w:val="en-AU" w:eastAsia="en-AU"/>
        </w:rPr>
      </w:pPr>
      <w:r>
        <w:rPr>
          <w:noProof/>
          <w:lang w:val="en-AU" w:eastAsia="en-AU"/>
        </w:rPr>
        <w:br w:type="page"/>
      </w:r>
    </w:p>
    <w:p w14:paraId="2CF56B7F" w14:textId="77777777" w:rsidR="00860E40" w:rsidRDefault="00860E40">
      <w:pPr>
        <w:rPr>
          <w:highlight w:val="yellow"/>
        </w:rPr>
      </w:pPr>
    </w:p>
    <w:p w14:paraId="4EBB3AF6" w14:textId="4E5A5A55" w:rsidR="00860E40" w:rsidRPr="0076456D" w:rsidRDefault="00913AA5" w:rsidP="007703EB">
      <w:pPr>
        <w:pStyle w:val="Heading2"/>
        <w:rPr>
          <w:rStyle w:val="Heading2Char"/>
          <w:b/>
          <w:i/>
        </w:rPr>
      </w:pPr>
      <w:bookmarkStart w:id="225" w:name="_Toc460406694"/>
      <w:bookmarkStart w:id="226" w:name="_Toc460407073"/>
      <w:bookmarkStart w:id="227" w:name="_Toc492622969"/>
      <w:r>
        <w:rPr>
          <w:noProof/>
          <w:lang w:val="en-AU" w:eastAsia="en-AU"/>
        </w:rPr>
        <w:drawing>
          <wp:anchor distT="0" distB="0" distL="114300" distR="114300" simplePos="0" relativeHeight="251702272" behindDoc="1" locked="0" layoutInCell="1" allowOverlap="1" wp14:anchorId="1351A51F" wp14:editId="26A76339">
            <wp:simplePos x="0" y="0"/>
            <wp:positionH relativeFrom="column">
              <wp:posOffset>-205740</wp:posOffset>
            </wp:positionH>
            <wp:positionV relativeFrom="paragraph">
              <wp:posOffset>352425</wp:posOffset>
            </wp:positionV>
            <wp:extent cx="6919595" cy="5295900"/>
            <wp:effectExtent l="0" t="0" r="0" b="0"/>
            <wp:wrapTight wrapText="bothSides">
              <wp:wrapPolygon edited="0">
                <wp:start x="0" y="0"/>
                <wp:lineTo x="0" y="21522"/>
                <wp:lineTo x="21527" y="21522"/>
                <wp:lineTo x="21527"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gr_certificate.jpg"/>
                    <pic:cNvPicPr/>
                  </pic:nvPicPr>
                  <pic:blipFill>
                    <a:blip r:embed="rId82">
                      <a:extLst>
                        <a:ext uri="{28A0092B-C50C-407E-A947-70E740481C1C}">
                          <a14:useLocalDpi xmlns:a14="http://schemas.microsoft.com/office/drawing/2010/main" val="0"/>
                        </a:ext>
                      </a:extLst>
                    </a:blip>
                    <a:stretch>
                      <a:fillRect/>
                    </a:stretch>
                  </pic:blipFill>
                  <pic:spPr>
                    <a:xfrm>
                      <a:off x="0" y="0"/>
                      <a:ext cx="6919595" cy="5295900"/>
                    </a:xfrm>
                    <a:prstGeom prst="rect">
                      <a:avLst/>
                    </a:prstGeom>
                  </pic:spPr>
                </pic:pic>
              </a:graphicData>
            </a:graphic>
            <wp14:sizeRelH relativeFrom="page">
              <wp14:pctWidth>0</wp14:pctWidth>
            </wp14:sizeRelH>
            <wp14:sizeRelV relativeFrom="page">
              <wp14:pctHeight>0</wp14:pctHeight>
            </wp14:sizeRelV>
          </wp:anchor>
        </w:drawing>
      </w:r>
      <w:r w:rsidR="00860E40" w:rsidRPr="0076456D">
        <w:t>Ma</w:t>
      </w:r>
      <w:r w:rsidR="00860E40" w:rsidRPr="0076456D">
        <w:rPr>
          <w:rStyle w:val="Heading2Char"/>
          <w:b/>
          <w:i/>
        </w:rPr>
        <w:t>nagement Certificate for the year ended 30 June 201</w:t>
      </w:r>
      <w:bookmarkEnd w:id="225"/>
      <w:bookmarkEnd w:id="226"/>
      <w:r w:rsidR="00D76191">
        <w:rPr>
          <w:rStyle w:val="Heading2Char"/>
          <w:b/>
          <w:i/>
        </w:rPr>
        <w:t>7</w:t>
      </w:r>
      <w:bookmarkEnd w:id="227"/>
    </w:p>
    <w:p w14:paraId="7FD1C216" w14:textId="252317F2" w:rsidR="005B453E" w:rsidRDefault="005B453E">
      <w:pPr>
        <w:rPr>
          <w:noProof/>
          <w:lang w:val="en-AU" w:eastAsia="en-AU"/>
        </w:rPr>
      </w:pPr>
      <w:r>
        <w:rPr>
          <w:noProof/>
          <w:lang w:val="en-AU" w:eastAsia="en-AU"/>
        </w:rPr>
        <w:br w:type="page"/>
      </w:r>
    </w:p>
    <w:p w14:paraId="2D0FB437" w14:textId="7D5B1CA7" w:rsidR="00D01B67" w:rsidRDefault="00600E28" w:rsidP="007703EB">
      <w:pPr>
        <w:pStyle w:val="Heading2"/>
      </w:pPr>
      <w:bookmarkStart w:id="228" w:name="_Toc460406695"/>
      <w:bookmarkStart w:id="229" w:name="_Toc460407074"/>
      <w:bookmarkStart w:id="230" w:name="_Toc492622970"/>
      <w:bookmarkEnd w:id="217"/>
      <w:r>
        <w:rPr>
          <w:noProof/>
          <w:lang w:val="en-AU" w:eastAsia="en-AU"/>
        </w:rPr>
        <w:lastRenderedPageBreak/>
        <w:drawing>
          <wp:anchor distT="0" distB="0" distL="114300" distR="114300" simplePos="0" relativeHeight="251703296" behindDoc="1" locked="0" layoutInCell="1" allowOverlap="1" wp14:anchorId="576D833E" wp14:editId="01A673E8">
            <wp:simplePos x="0" y="0"/>
            <wp:positionH relativeFrom="column">
              <wp:posOffset>-367665</wp:posOffset>
            </wp:positionH>
            <wp:positionV relativeFrom="paragraph">
              <wp:posOffset>264795</wp:posOffset>
            </wp:positionV>
            <wp:extent cx="6000750" cy="8677275"/>
            <wp:effectExtent l="0" t="0" r="0" b="9525"/>
            <wp:wrapTight wrapText="bothSides">
              <wp:wrapPolygon edited="0">
                <wp:start x="0" y="0"/>
                <wp:lineTo x="0" y="21576"/>
                <wp:lineTo x="21531" y="21576"/>
                <wp:lineTo x="21531"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Auditreportp.1.jpg"/>
                    <pic:cNvPicPr/>
                  </pic:nvPicPr>
                  <pic:blipFill>
                    <a:blip r:embed="rId83">
                      <a:extLst>
                        <a:ext uri="{28A0092B-C50C-407E-A947-70E740481C1C}">
                          <a14:useLocalDpi xmlns:a14="http://schemas.microsoft.com/office/drawing/2010/main" val="0"/>
                        </a:ext>
                      </a:extLst>
                    </a:blip>
                    <a:stretch>
                      <a:fillRect/>
                    </a:stretch>
                  </pic:blipFill>
                  <pic:spPr>
                    <a:xfrm>
                      <a:off x="0" y="0"/>
                      <a:ext cx="6000750" cy="8677275"/>
                    </a:xfrm>
                    <a:prstGeom prst="rect">
                      <a:avLst/>
                    </a:prstGeom>
                  </pic:spPr>
                </pic:pic>
              </a:graphicData>
            </a:graphic>
            <wp14:sizeRelH relativeFrom="page">
              <wp14:pctWidth>0</wp14:pctWidth>
            </wp14:sizeRelH>
            <wp14:sizeRelV relativeFrom="page">
              <wp14:pctHeight>0</wp14:pctHeight>
            </wp14:sizeRelV>
          </wp:anchor>
        </w:drawing>
      </w:r>
      <w:r w:rsidR="00827F2B" w:rsidRPr="00827F2B">
        <w:t>Independent Auditor’s Report</w:t>
      </w:r>
      <w:bookmarkEnd w:id="228"/>
      <w:bookmarkEnd w:id="229"/>
      <w:bookmarkEnd w:id="230"/>
    </w:p>
    <w:p w14:paraId="45A14075" w14:textId="45B2F483" w:rsidR="00600E28" w:rsidRPr="00600E28" w:rsidRDefault="00600E28" w:rsidP="00600E28"/>
    <w:p w14:paraId="4E815CF3" w14:textId="4C8BBBBE" w:rsidR="00D01B67" w:rsidRPr="004D0C71" w:rsidRDefault="007621B8" w:rsidP="000A1ADD">
      <w:pPr>
        <w:pStyle w:val="BodyText"/>
        <w:spacing w:line="360" w:lineRule="auto"/>
        <w:ind w:left="-142"/>
        <w:rPr>
          <w:rFonts w:ascii="Arial Bold" w:hAnsi="Arial Bold"/>
          <w:b/>
          <w:i/>
          <w:color w:val="AB054C"/>
          <w:sz w:val="36"/>
          <w:szCs w:val="36"/>
        </w:rPr>
      </w:pPr>
      <w:r w:rsidRPr="00341581">
        <w:br w:type="page"/>
      </w:r>
      <w:bookmarkStart w:id="231" w:name="_Toc442339183"/>
      <w:bookmarkStart w:id="232" w:name="_Toc446075135"/>
      <w:r w:rsidR="00D21C42">
        <w:rPr>
          <w:noProof/>
          <w:lang w:val="en-AU" w:eastAsia="en-AU"/>
        </w:rPr>
        <w:lastRenderedPageBreak/>
        <w:drawing>
          <wp:anchor distT="0" distB="0" distL="114300" distR="114300" simplePos="0" relativeHeight="251704320" behindDoc="1" locked="0" layoutInCell="1" allowOverlap="1" wp14:anchorId="0C1F1062" wp14:editId="05E722D0">
            <wp:simplePos x="0" y="0"/>
            <wp:positionH relativeFrom="column">
              <wp:posOffset>-386715</wp:posOffset>
            </wp:positionH>
            <wp:positionV relativeFrom="paragraph">
              <wp:posOffset>389255</wp:posOffset>
            </wp:positionV>
            <wp:extent cx="6105525" cy="8912225"/>
            <wp:effectExtent l="0" t="0" r="9525" b="3175"/>
            <wp:wrapTight wrapText="bothSides">
              <wp:wrapPolygon edited="0">
                <wp:start x="0" y="0"/>
                <wp:lineTo x="0" y="21562"/>
                <wp:lineTo x="21566" y="21562"/>
                <wp:lineTo x="21566"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Auditreportp.2.jpg"/>
                    <pic:cNvPicPr/>
                  </pic:nvPicPr>
                  <pic:blipFill>
                    <a:blip r:embed="rId84">
                      <a:extLst>
                        <a:ext uri="{28A0092B-C50C-407E-A947-70E740481C1C}">
                          <a14:useLocalDpi xmlns:a14="http://schemas.microsoft.com/office/drawing/2010/main" val="0"/>
                        </a:ext>
                      </a:extLst>
                    </a:blip>
                    <a:stretch>
                      <a:fillRect/>
                    </a:stretch>
                  </pic:blipFill>
                  <pic:spPr>
                    <a:xfrm>
                      <a:off x="0" y="0"/>
                      <a:ext cx="6105525" cy="8912225"/>
                    </a:xfrm>
                    <a:prstGeom prst="rect">
                      <a:avLst/>
                    </a:prstGeom>
                  </pic:spPr>
                </pic:pic>
              </a:graphicData>
            </a:graphic>
            <wp14:sizeRelH relativeFrom="page">
              <wp14:pctWidth>0</wp14:pctWidth>
            </wp14:sizeRelH>
            <wp14:sizeRelV relativeFrom="page">
              <wp14:pctHeight>0</wp14:pctHeight>
            </wp14:sizeRelV>
          </wp:anchor>
        </w:drawing>
      </w:r>
      <w:r w:rsidR="00583F71" w:rsidRPr="004D0C71">
        <w:rPr>
          <w:rFonts w:ascii="Arial Bold" w:hAnsi="Arial Bold"/>
          <w:b/>
          <w:i/>
          <w:color w:val="AB054C"/>
          <w:sz w:val="36"/>
          <w:szCs w:val="36"/>
        </w:rPr>
        <w:t xml:space="preserve">Independent </w:t>
      </w:r>
      <w:r w:rsidR="0031113D">
        <w:rPr>
          <w:rFonts w:ascii="Arial Bold" w:hAnsi="Arial Bold"/>
          <w:b/>
          <w:i/>
          <w:color w:val="AB054C"/>
          <w:sz w:val="36"/>
          <w:szCs w:val="36"/>
        </w:rPr>
        <w:t>A</w:t>
      </w:r>
      <w:r w:rsidR="00583F71" w:rsidRPr="004D0C71">
        <w:rPr>
          <w:rFonts w:ascii="Arial Bold" w:hAnsi="Arial Bold"/>
          <w:b/>
          <w:i/>
          <w:color w:val="AB054C"/>
          <w:sz w:val="36"/>
          <w:szCs w:val="36"/>
        </w:rPr>
        <w:t xml:space="preserve">uditor’s </w:t>
      </w:r>
      <w:r w:rsidR="00FD076A" w:rsidRPr="004D0C71">
        <w:rPr>
          <w:rFonts w:ascii="Arial Bold" w:hAnsi="Arial Bold"/>
          <w:b/>
          <w:i/>
          <w:color w:val="AB054C"/>
          <w:sz w:val="36"/>
          <w:szCs w:val="36"/>
        </w:rPr>
        <w:t>r</w:t>
      </w:r>
      <w:r w:rsidR="00583F71" w:rsidRPr="004D0C71">
        <w:rPr>
          <w:rFonts w:ascii="Arial Bold" w:hAnsi="Arial Bold"/>
          <w:b/>
          <w:i/>
          <w:color w:val="AB054C"/>
          <w:sz w:val="36"/>
          <w:szCs w:val="36"/>
        </w:rPr>
        <w:t>eport</w:t>
      </w:r>
      <w:bookmarkEnd w:id="231"/>
      <w:bookmarkEnd w:id="232"/>
      <w:r w:rsidR="00827F2B" w:rsidRPr="004D0C71">
        <w:rPr>
          <w:rFonts w:ascii="Arial Bold" w:hAnsi="Arial Bold"/>
          <w:b/>
          <w:i/>
          <w:color w:val="AB054C"/>
          <w:sz w:val="36"/>
          <w:szCs w:val="36"/>
        </w:rPr>
        <w:t xml:space="preserve"> (</w:t>
      </w:r>
      <w:r w:rsidR="004D0C71" w:rsidRPr="004D0C71">
        <w:rPr>
          <w:rFonts w:ascii="Arial Bold" w:hAnsi="Arial Bold"/>
          <w:b/>
          <w:i/>
          <w:color w:val="AB054C"/>
          <w:sz w:val="36"/>
          <w:szCs w:val="36"/>
        </w:rPr>
        <w:t>c</w:t>
      </w:r>
      <w:r w:rsidR="00827F2B" w:rsidRPr="004D0C71">
        <w:rPr>
          <w:rFonts w:ascii="Arial Bold" w:hAnsi="Arial Bold"/>
          <w:b/>
          <w:i/>
          <w:color w:val="AB054C"/>
          <w:sz w:val="36"/>
          <w:szCs w:val="36"/>
        </w:rPr>
        <w:t>ont</w:t>
      </w:r>
      <w:r w:rsidR="004D0C71" w:rsidRPr="004D0C71">
        <w:rPr>
          <w:rFonts w:ascii="Arial Bold" w:hAnsi="Arial Bold"/>
          <w:b/>
          <w:i/>
          <w:color w:val="AB054C"/>
          <w:sz w:val="36"/>
          <w:szCs w:val="36"/>
        </w:rPr>
        <w:t>’d</w:t>
      </w:r>
      <w:r w:rsidR="00827F2B" w:rsidRPr="004D0C71">
        <w:rPr>
          <w:rFonts w:ascii="Arial Bold" w:hAnsi="Arial Bold"/>
          <w:b/>
          <w:i/>
          <w:color w:val="AB054C"/>
          <w:sz w:val="36"/>
          <w:szCs w:val="36"/>
        </w:rPr>
        <w:t>)</w:t>
      </w:r>
    </w:p>
    <w:p w14:paraId="53D7AE3E" w14:textId="556631A7" w:rsidR="005B453E" w:rsidRDefault="005B453E">
      <w:r>
        <w:br w:type="page"/>
      </w:r>
    </w:p>
    <w:p w14:paraId="1EB5A32A" w14:textId="77777777" w:rsidR="007621B8" w:rsidRPr="00341581" w:rsidRDefault="00B2375C" w:rsidP="002335C3">
      <w:pPr>
        <w:pStyle w:val="Heading1"/>
        <w:ind w:left="0" w:right="0"/>
      </w:pPr>
      <w:bookmarkStart w:id="233" w:name="_Toc460406696"/>
      <w:bookmarkStart w:id="234" w:name="_Toc460406846"/>
      <w:bookmarkStart w:id="235" w:name="_Toc460406882"/>
      <w:bookmarkStart w:id="236" w:name="_Toc460406961"/>
      <w:bookmarkStart w:id="237" w:name="_Toc460407075"/>
      <w:bookmarkStart w:id="238" w:name="_Toc492622971"/>
      <w:r w:rsidRPr="00341581">
        <w:lastRenderedPageBreak/>
        <w:t>A</w:t>
      </w:r>
      <w:r>
        <w:t>ppendices</w:t>
      </w:r>
      <w:bookmarkEnd w:id="233"/>
      <w:bookmarkEnd w:id="234"/>
      <w:bookmarkEnd w:id="235"/>
      <w:bookmarkEnd w:id="236"/>
      <w:bookmarkEnd w:id="237"/>
      <w:bookmarkEnd w:id="238"/>
    </w:p>
    <w:p w14:paraId="5EEDCF95" w14:textId="77777777" w:rsidR="00830549" w:rsidRPr="00C903AA" w:rsidRDefault="00830549" w:rsidP="007703EB">
      <w:pPr>
        <w:pStyle w:val="Heading2"/>
      </w:pPr>
      <w:bookmarkStart w:id="239" w:name="_Toc491438864"/>
      <w:bookmarkStart w:id="240" w:name="_Toc492622972"/>
      <w:bookmarkStart w:id="241" w:name="_Toc415049813"/>
      <w:bookmarkStart w:id="242" w:name="_Toc415050365"/>
      <w:bookmarkStart w:id="243" w:name="_Toc441671827"/>
      <w:bookmarkStart w:id="244" w:name="_Toc441672115"/>
      <w:bookmarkStart w:id="245" w:name="_Toc442168902"/>
      <w:bookmarkStart w:id="246" w:name="_Toc460406697"/>
      <w:bookmarkStart w:id="247" w:name="_Toc460406847"/>
      <w:bookmarkStart w:id="248" w:name="_Toc460406883"/>
      <w:bookmarkStart w:id="249" w:name="_Toc460406962"/>
      <w:bookmarkStart w:id="250" w:name="_Toc460407076"/>
      <w:r w:rsidRPr="00C903AA">
        <w:t>Acronyms</w:t>
      </w:r>
      <w:bookmarkEnd w:id="239"/>
      <w:bookmarkEnd w:id="240"/>
      <w:r w:rsidRPr="00C903AA">
        <w:t xml:space="preserve"> </w:t>
      </w:r>
    </w:p>
    <w:p w14:paraId="64417D4A" w14:textId="77777777" w:rsidR="00830549" w:rsidRPr="00CE59F5" w:rsidRDefault="00830549" w:rsidP="00830549">
      <w:pPr>
        <w:pStyle w:val="Default"/>
        <w:tabs>
          <w:tab w:val="left" w:pos="851"/>
        </w:tabs>
        <w:ind w:firstLine="720"/>
        <w:rPr>
          <w:iCs/>
          <w:sz w:val="18"/>
          <w:szCs w:val="18"/>
          <w:u w:val="none"/>
        </w:rPr>
      </w:pPr>
    </w:p>
    <w:tbl>
      <w:tblPr>
        <w:tblStyle w:val="TableGrid"/>
        <w:tblW w:w="99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91"/>
        <w:gridCol w:w="3572"/>
        <w:gridCol w:w="495"/>
        <w:gridCol w:w="1134"/>
        <w:gridCol w:w="3572"/>
      </w:tblGrid>
      <w:tr w:rsidR="00AB5C47" w:rsidRPr="00A13210" w14:paraId="6630FFF7" w14:textId="77777777" w:rsidTr="00D21C42">
        <w:trPr>
          <w:trHeight w:val="488"/>
        </w:trPr>
        <w:tc>
          <w:tcPr>
            <w:tcW w:w="1191" w:type="dxa"/>
            <w:shd w:val="clear" w:color="auto" w:fill="FEDADD" w:themeFill="accent5"/>
            <w:vAlign w:val="center"/>
          </w:tcPr>
          <w:bookmarkEnd w:id="241"/>
          <w:bookmarkEnd w:id="242"/>
          <w:bookmarkEnd w:id="243"/>
          <w:bookmarkEnd w:id="244"/>
          <w:bookmarkEnd w:id="245"/>
          <w:bookmarkEnd w:id="246"/>
          <w:bookmarkEnd w:id="247"/>
          <w:bookmarkEnd w:id="248"/>
          <w:bookmarkEnd w:id="249"/>
          <w:bookmarkEnd w:id="250"/>
          <w:p w14:paraId="4D47AF34" w14:textId="77777777" w:rsidR="00AB5C47" w:rsidRPr="00A13210" w:rsidRDefault="00AB5C47" w:rsidP="00AB5C47">
            <w:pPr>
              <w:spacing w:before="60" w:after="60"/>
            </w:pPr>
            <w:r>
              <w:rPr>
                <w:szCs w:val="22"/>
              </w:rPr>
              <w:t>ADF</w:t>
            </w:r>
          </w:p>
        </w:tc>
        <w:tc>
          <w:tcPr>
            <w:tcW w:w="3572" w:type="dxa"/>
            <w:shd w:val="clear" w:color="auto" w:fill="FEDADD" w:themeFill="accent5"/>
            <w:vAlign w:val="center"/>
          </w:tcPr>
          <w:p w14:paraId="52194571" w14:textId="77777777" w:rsidR="00AB5C47" w:rsidRPr="00A13210" w:rsidRDefault="00AB5C47" w:rsidP="00AB5C47">
            <w:pPr>
              <w:spacing w:before="60" w:after="60"/>
            </w:pPr>
            <w:r>
              <w:rPr>
                <w:szCs w:val="22"/>
              </w:rPr>
              <w:t>Australian Defence Force</w:t>
            </w:r>
          </w:p>
        </w:tc>
        <w:tc>
          <w:tcPr>
            <w:tcW w:w="495" w:type="dxa"/>
            <w:shd w:val="clear" w:color="auto" w:fill="FEDADD" w:themeFill="accent5"/>
            <w:vAlign w:val="center"/>
          </w:tcPr>
          <w:p w14:paraId="2E89DAF1" w14:textId="77777777" w:rsidR="00AB5C47" w:rsidRPr="00A13210" w:rsidRDefault="00AB5C47" w:rsidP="00AB5C47">
            <w:pPr>
              <w:spacing w:before="60" w:after="60"/>
            </w:pPr>
          </w:p>
        </w:tc>
        <w:tc>
          <w:tcPr>
            <w:tcW w:w="1134" w:type="dxa"/>
            <w:shd w:val="clear" w:color="auto" w:fill="FEDADD" w:themeFill="accent5"/>
            <w:vAlign w:val="center"/>
          </w:tcPr>
          <w:p w14:paraId="79A10FB0" w14:textId="772F8CDC" w:rsidR="00AB5C47" w:rsidRPr="00A13210" w:rsidRDefault="00AB5C47" w:rsidP="00AB5C47">
            <w:pPr>
              <w:spacing w:before="60" w:after="60"/>
              <w:rPr>
                <w:szCs w:val="22"/>
              </w:rPr>
            </w:pPr>
            <w:r w:rsidRPr="00A13210">
              <w:rPr>
                <w:szCs w:val="22"/>
              </w:rPr>
              <w:t>HRIS</w:t>
            </w:r>
          </w:p>
        </w:tc>
        <w:tc>
          <w:tcPr>
            <w:tcW w:w="3572" w:type="dxa"/>
            <w:shd w:val="clear" w:color="auto" w:fill="FEDADD" w:themeFill="accent5"/>
            <w:vAlign w:val="center"/>
          </w:tcPr>
          <w:p w14:paraId="32E3BF5C" w14:textId="763BC7E9" w:rsidR="00AB5C47" w:rsidRPr="00A13210" w:rsidRDefault="00AB5C47" w:rsidP="00AB5C47">
            <w:pPr>
              <w:spacing w:before="60" w:after="60"/>
              <w:rPr>
                <w:szCs w:val="22"/>
              </w:rPr>
            </w:pPr>
            <w:r w:rsidRPr="00A13210">
              <w:rPr>
                <w:szCs w:val="22"/>
              </w:rPr>
              <w:t>Human Resource Information S</w:t>
            </w:r>
            <w:r>
              <w:rPr>
                <w:szCs w:val="22"/>
              </w:rPr>
              <w:t>ystem</w:t>
            </w:r>
          </w:p>
        </w:tc>
      </w:tr>
      <w:tr w:rsidR="00AB5C47" w:rsidRPr="00A13210" w14:paraId="5CECF5F7" w14:textId="77777777" w:rsidTr="00AB5C47">
        <w:trPr>
          <w:trHeight w:val="851"/>
        </w:trPr>
        <w:tc>
          <w:tcPr>
            <w:tcW w:w="1191" w:type="dxa"/>
            <w:shd w:val="clear" w:color="auto" w:fill="auto"/>
            <w:vAlign w:val="center"/>
          </w:tcPr>
          <w:p w14:paraId="00D894E1" w14:textId="77777777" w:rsidR="00AB5C47" w:rsidRPr="00A13210" w:rsidRDefault="00AB5C47" w:rsidP="00AB5C47">
            <w:pPr>
              <w:spacing w:before="60" w:after="60"/>
              <w:rPr>
                <w:szCs w:val="22"/>
              </w:rPr>
            </w:pPr>
            <w:r w:rsidRPr="00A13210">
              <w:rPr>
                <w:szCs w:val="22"/>
              </w:rPr>
              <w:t>AEDP</w:t>
            </w:r>
          </w:p>
        </w:tc>
        <w:tc>
          <w:tcPr>
            <w:tcW w:w="3572" w:type="dxa"/>
            <w:shd w:val="clear" w:color="auto" w:fill="auto"/>
            <w:vAlign w:val="center"/>
          </w:tcPr>
          <w:p w14:paraId="0FD42FAB" w14:textId="77777777" w:rsidR="00AB5C47" w:rsidRPr="00A13210" w:rsidRDefault="00AB5C47" w:rsidP="00AB5C47">
            <w:pPr>
              <w:spacing w:before="60" w:after="60"/>
              <w:rPr>
                <w:szCs w:val="22"/>
              </w:rPr>
            </w:pPr>
            <w:r w:rsidRPr="00A13210">
              <w:rPr>
                <w:szCs w:val="22"/>
              </w:rPr>
              <w:t>Assurance and Excellence Development Program</w:t>
            </w:r>
          </w:p>
        </w:tc>
        <w:tc>
          <w:tcPr>
            <w:tcW w:w="495" w:type="dxa"/>
            <w:shd w:val="clear" w:color="auto" w:fill="auto"/>
            <w:vAlign w:val="center"/>
          </w:tcPr>
          <w:p w14:paraId="5A3561E0" w14:textId="77777777" w:rsidR="00AB5C47" w:rsidRPr="00A13210" w:rsidRDefault="00AB5C47" w:rsidP="00AB5C47">
            <w:pPr>
              <w:spacing w:before="60" w:after="60"/>
            </w:pPr>
          </w:p>
        </w:tc>
        <w:tc>
          <w:tcPr>
            <w:tcW w:w="1134" w:type="dxa"/>
            <w:shd w:val="clear" w:color="auto" w:fill="auto"/>
            <w:vAlign w:val="center"/>
          </w:tcPr>
          <w:p w14:paraId="4CF8C0E7" w14:textId="111EA761" w:rsidR="00AB5C47" w:rsidRDefault="00AB5C47" w:rsidP="00AB5C47">
            <w:pPr>
              <w:spacing w:before="60" w:after="60"/>
              <w:rPr>
                <w:szCs w:val="22"/>
              </w:rPr>
            </w:pPr>
            <w:r>
              <w:t>ICT</w:t>
            </w:r>
          </w:p>
        </w:tc>
        <w:tc>
          <w:tcPr>
            <w:tcW w:w="3572" w:type="dxa"/>
            <w:shd w:val="clear" w:color="auto" w:fill="auto"/>
            <w:vAlign w:val="center"/>
          </w:tcPr>
          <w:p w14:paraId="7E0D3D13" w14:textId="6007F9FF" w:rsidR="00AB5C47" w:rsidRDefault="00AB5C47" w:rsidP="00AB5C47">
            <w:pPr>
              <w:spacing w:before="60" w:after="60"/>
              <w:rPr>
                <w:szCs w:val="22"/>
              </w:rPr>
            </w:pPr>
            <w:r>
              <w:t>Information and Communications Technology</w:t>
            </w:r>
          </w:p>
        </w:tc>
      </w:tr>
      <w:tr w:rsidR="00AB5C47" w:rsidRPr="00A13210" w14:paraId="51F9D6C4" w14:textId="77777777" w:rsidTr="00AB5C47">
        <w:trPr>
          <w:trHeight w:val="847"/>
        </w:trPr>
        <w:tc>
          <w:tcPr>
            <w:tcW w:w="1191" w:type="dxa"/>
            <w:shd w:val="clear" w:color="auto" w:fill="FEDADD" w:themeFill="accent5"/>
            <w:vAlign w:val="center"/>
          </w:tcPr>
          <w:p w14:paraId="09A4EC83" w14:textId="77777777" w:rsidR="00AB5C47" w:rsidRPr="00A13210" w:rsidRDefault="00AB5C47" w:rsidP="00AB5C47">
            <w:pPr>
              <w:spacing w:before="60" w:after="60"/>
            </w:pPr>
            <w:r w:rsidRPr="00A13210">
              <w:rPr>
                <w:szCs w:val="22"/>
              </w:rPr>
              <w:t>AFAC</w:t>
            </w:r>
          </w:p>
        </w:tc>
        <w:tc>
          <w:tcPr>
            <w:tcW w:w="3572" w:type="dxa"/>
            <w:shd w:val="clear" w:color="auto" w:fill="FEDADD" w:themeFill="accent5"/>
            <w:vAlign w:val="center"/>
          </w:tcPr>
          <w:p w14:paraId="171200A9" w14:textId="77777777" w:rsidR="00AB5C47" w:rsidRPr="00A13210" w:rsidRDefault="00AB5C47" w:rsidP="00AB5C47">
            <w:pPr>
              <w:spacing w:before="60" w:after="60"/>
            </w:pPr>
            <w:r w:rsidRPr="00A13210">
              <w:rPr>
                <w:szCs w:val="22"/>
              </w:rPr>
              <w:t>Australasian Fire and Emergency Service Authorities Council</w:t>
            </w:r>
          </w:p>
        </w:tc>
        <w:tc>
          <w:tcPr>
            <w:tcW w:w="495" w:type="dxa"/>
            <w:shd w:val="clear" w:color="auto" w:fill="FEDADD" w:themeFill="accent5"/>
            <w:vAlign w:val="center"/>
          </w:tcPr>
          <w:p w14:paraId="28B0072C" w14:textId="77777777" w:rsidR="00AB5C47" w:rsidRPr="00A13210" w:rsidRDefault="00AB5C47" w:rsidP="00AB5C47">
            <w:pPr>
              <w:spacing w:before="60" w:after="60"/>
            </w:pPr>
          </w:p>
        </w:tc>
        <w:tc>
          <w:tcPr>
            <w:tcW w:w="1134" w:type="dxa"/>
            <w:shd w:val="clear" w:color="auto" w:fill="FEDADD" w:themeFill="accent5"/>
            <w:vAlign w:val="center"/>
          </w:tcPr>
          <w:p w14:paraId="040FEA2C" w14:textId="2ACCF8D3" w:rsidR="00AB5C47" w:rsidRPr="00A13210" w:rsidRDefault="00AB5C47" w:rsidP="00AB5C47">
            <w:pPr>
              <w:spacing w:before="60" w:after="60"/>
              <w:rPr>
                <w:szCs w:val="22"/>
              </w:rPr>
            </w:pPr>
            <w:r w:rsidRPr="00A13210">
              <w:rPr>
                <w:szCs w:val="22"/>
              </w:rPr>
              <w:t>IGEM</w:t>
            </w:r>
          </w:p>
        </w:tc>
        <w:tc>
          <w:tcPr>
            <w:tcW w:w="3572" w:type="dxa"/>
            <w:shd w:val="clear" w:color="auto" w:fill="FEDADD" w:themeFill="accent5"/>
            <w:vAlign w:val="center"/>
          </w:tcPr>
          <w:p w14:paraId="71973C86" w14:textId="14728A6D" w:rsidR="00AB5C47" w:rsidRPr="00A13210" w:rsidRDefault="00AB5C47" w:rsidP="00AB5C47">
            <w:pPr>
              <w:spacing w:before="60" w:after="60"/>
              <w:rPr>
                <w:szCs w:val="22"/>
              </w:rPr>
            </w:pPr>
            <w:r w:rsidRPr="00A13210">
              <w:rPr>
                <w:szCs w:val="22"/>
              </w:rPr>
              <w:t>Inspector-General Emergency Management</w:t>
            </w:r>
          </w:p>
        </w:tc>
      </w:tr>
      <w:tr w:rsidR="00AB5C47" w:rsidRPr="000D4EF7" w14:paraId="4002E9DF" w14:textId="77777777" w:rsidTr="00AB5C47">
        <w:trPr>
          <w:trHeight w:val="729"/>
        </w:trPr>
        <w:tc>
          <w:tcPr>
            <w:tcW w:w="1191" w:type="dxa"/>
            <w:shd w:val="clear" w:color="auto" w:fill="FFFFFF" w:themeFill="background1"/>
            <w:vAlign w:val="center"/>
          </w:tcPr>
          <w:p w14:paraId="78B1013B" w14:textId="1F7A7449" w:rsidR="00AB5C47" w:rsidRPr="006409BA" w:rsidRDefault="00AB5C47" w:rsidP="00AB5C47">
            <w:pPr>
              <w:spacing w:before="60" w:after="60"/>
              <w:rPr>
                <w:szCs w:val="22"/>
              </w:rPr>
            </w:pPr>
            <w:r>
              <w:rPr>
                <w:szCs w:val="22"/>
              </w:rPr>
              <w:t>BCC</w:t>
            </w:r>
          </w:p>
        </w:tc>
        <w:tc>
          <w:tcPr>
            <w:tcW w:w="3572" w:type="dxa"/>
            <w:shd w:val="clear" w:color="auto" w:fill="FFFFFF" w:themeFill="background1"/>
            <w:vAlign w:val="center"/>
          </w:tcPr>
          <w:p w14:paraId="39892115" w14:textId="37CBCB38" w:rsidR="00AB5C47" w:rsidRPr="006409BA" w:rsidRDefault="00AB5C47" w:rsidP="00AB5C47">
            <w:pPr>
              <w:spacing w:before="60" w:after="60"/>
              <w:rPr>
                <w:szCs w:val="22"/>
              </w:rPr>
            </w:pPr>
            <w:r>
              <w:rPr>
                <w:szCs w:val="22"/>
              </w:rPr>
              <w:t>Brisbane City Council</w:t>
            </w:r>
          </w:p>
        </w:tc>
        <w:tc>
          <w:tcPr>
            <w:tcW w:w="495" w:type="dxa"/>
            <w:shd w:val="clear" w:color="auto" w:fill="FFFFFF" w:themeFill="background1"/>
            <w:vAlign w:val="center"/>
          </w:tcPr>
          <w:p w14:paraId="5CC6E4CA" w14:textId="77777777" w:rsidR="00AB5C47" w:rsidRPr="00A13210" w:rsidRDefault="00AB5C47" w:rsidP="00AB5C47">
            <w:pPr>
              <w:spacing w:before="60" w:after="60"/>
            </w:pPr>
          </w:p>
        </w:tc>
        <w:tc>
          <w:tcPr>
            <w:tcW w:w="1134" w:type="dxa"/>
            <w:shd w:val="clear" w:color="auto" w:fill="FFFFFF" w:themeFill="background1"/>
            <w:vAlign w:val="center"/>
          </w:tcPr>
          <w:p w14:paraId="55440222" w14:textId="6B0CFC10" w:rsidR="00AB5C47" w:rsidRPr="000D4EF7" w:rsidRDefault="00AB5C47" w:rsidP="00AB5C47">
            <w:pPr>
              <w:spacing w:before="60" w:after="60"/>
              <w:rPr>
                <w:szCs w:val="22"/>
              </w:rPr>
            </w:pPr>
            <w:r>
              <w:rPr>
                <w:szCs w:val="22"/>
              </w:rPr>
              <w:t>LGAQ</w:t>
            </w:r>
          </w:p>
        </w:tc>
        <w:tc>
          <w:tcPr>
            <w:tcW w:w="3572" w:type="dxa"/>
            <w:shd w:val="clear" w:color="auto" w:fill="FFFFFF" w:themeFill="background1"/>
            <w:vAlign w:val="center"/>
          </w:tcPr>
          <w:p w14:paraId="2D12A9A5" w14:textId="6C2EDE4E" w:rsidR="00AB5C47" w:rsidRPr="000D4EF7" w:rsidRDefault="00AB5C47" w:rsidP="00AB5C47">
            <w:pPr>
              <w:spacing w:before="60" w:after="60"/>
              <w:rPr>
                <w:i/>
                <w:szCs w:val="22"/>
              </w:rPr>
            </w:pPr>
            <w:r>
              <w:rPr>
                <w:szCs w:val="22"/>
              </w:rPr>
              <w:t>Local Government Association of Queensland</w:t>
            </w:r>
          </w:p>
        </w:tc>
      </w:tr>
      <w:tr w:rsidR="00AB5C47" w:rsidRPr="00A13210" w14:paraId="4906750A" w14:textId="77777777" w:rsidTr="00AB5C47">
        <w:trPr>
          <w:trHeight w:val="687"/>
        </w:trPr>
        <w:tc>
          <w:tcPr>
            <w:tcW w:w="1191" w:type="dxa"/>
            <w:shd w:val="clear" w:color="auto" w:fill="FEDADD" w:themeFill="accent5"/>
            <w:vAlign w:val="center"/>
          </w:tcPr>
          <w:p w14:paraId="4AD2DC10" w14:textId="203FEDC0" w:rsidR="00AB5C47" w:rsidRPr="00A13210" w:rsidRDefault="00AB5C47" w:rsidP="00AB5C47">
            <w:pPr>
              <w:spacing w:before="60" w:after="60"/>
            </w:pPr>
            <w:r w:rsidRPr="00A13210">
              <w:rPr>
                <w:szCs w:val="22"/>
              </w:rPr>
              <w:t>CCC</w:t>
            </w:r>
          </w:p>
        </w:tc>
        <w:tc>
          <w:tcPr>
            <w:tcW w:w="3572" w:type="dxa"/>
            <w:shd w:val="clear" w:color="auto" w:fill="FEDADD" w:themeFill="accent5"/>
            <w:vAlign w:val="center"/>
          </w:tcPr>
          <w:p w14:paraId="165139AA" w14:textId="4F90A063" w:rsidR="00AB5C47" w:rsidRPr="00D76191" w:rsidRDefault="00AB5C47" w:rsidP="00AB5C47">
            <w:pPr>
              <w:spacing w:before="60" w:after="60"/>
            </w:pPr>
            <w:r w:rsidRPr="00A13210">
              <w:rPr>
                <w:szCs w:val="22"/>
              </w:rPr>
              <w:t>Crime and Corruption Commission</w:t>
            </w:r>
          </w:p>
        </w:tc>
        <w:tc>
          <w:tcPr>
            <w:tcW w:w="495" w:type="dxa"/>
            <w:shd w:val="clear" w:color="auto" w:fill="FEDADD" w:themeFill="accent5"/>
            <w:vAlign w:val="center"/>
          </w:tcPr>
          <w:p w14:paraId="451DFF28" w14:textId="77777777" w:rsidR="00AB5C47" w:rsidRPr="00A13210" w:rsidRDefault="00AB5C47" w:rsidP="00AB5C47">
            <w:pPr>
              <w:spacing w:before="60" w:after="60"/>
            </w:pPr>
          </w:p>
        </w:tc>
        <w:tc>
          <w:tcPr>
            <w:tcW w:w="1134" w:type="dxa"/>
            <w:shd w:val="clear" w:color="auto" w:fill="FEDADD" w:themeFill="accent5"/>
            <w:vAlign w:val="center"/>
          </w:tcPr>
          <w:p w14:paraId="2AD2778D" w14:textId="2D1A3EAB" w:rsidR="00AB5C47" w:rsidRPr="00A13210" w:rsidRDefault="00AB5C47" w:rsidP="00AB5C47">
            <w:pPr>
              <w:spacing w:before="60" w:after="60"/>
            </w:pPr>
            <w:r>
              <w:rPr>
                <w:szCs w:val="22"/>
              </w:rPr>
              <w:t>MOU</w:t>
            </w:r>
          </w:p>
        </w:tc>
        <w:tc>
          <w:tcPr>
            <w:tcW w:w="3572" w:type="dxa"/>
            <w:shd w:val="clear" w:color="auto" w:fill="FEDADD" w:themeFill="accent5"/>
            <w:vAlign w:val="center"/>
          </w:tcPr>
          <w:p w14:paraId="674123C7" w14:textId="62E2E369" w:rsidR="00AB5C47" w:rsidRPr="00A13210" w:rsidRDefault="00AB5C47" w:rsidP="00AB5C47">
            <w:pPr>
              <w:spacing w:before="60" w:after="60"/>
            </w:pPr>
            <w:r w:rsidRPr="00C17E7D">
              <w:rPr>
                <w:szCs w:val="22"/>
              </w:rPr>
              <w:t>Memorandum of Understanding</w:t>
            </w:r>
          </w:p>
        </w:tc>
      </w:tr>
      <w:tr w:rsidR="00AB5C47" w:rsidRPr="00A13210" w14:paraId="6D4E255F" w14:textId="77777777" w:rsidTr="00AB5C47">
        <w:trPr>
          <w:trHeight w:val="767"/>
        </w:trPr>
        <w:tc>
          <w:tcPr>
            <w:tcW w:w="1191" w:type="dxa"/>
            <w:shd w:val="clear" w:color="auto" w:fill="FFFFFF" w:themeFill="background1"/>
            <w:vAlign w:val="center"/>
          </w:tcPr>
          <w:p w14:paraId="17C4E21E" w14:textId="7A65D44C" w:rsidR="00AB5C47" w:rsidRPr="006409BA" w:rsidRDefault="00AB5C47" w:rsidP="00AB5C47">
            <w:pPr>
              <w:spacing w:before="60" w:after="60"/>
              <w:rPr>
                <w:szCs w:val="22"/>
              </w:rPr>
            </w:pPr>
            <w:r w:rsidRPr="00A13210">
              <w:rPr>
                <w:szCs w:val="22"/>
              </w:rPr>
              <w:t>C</w:t>
            </w:r>
            <w:r>
              <w:rPr>
                <w:szCs w:val="22"/>
              </w:rPr>
              <w:t>EO</w:t>
            </w:r>
          </w:p>
        </w:tc>
        <w:tc>
          <w:tcPr>
            <w:tcW w:w="3572" w:type="dxa"/>
            <w:shd w:val="clear" w:color="auto" w:fill="FFFFFF" w:themeFill="background1"/>
            <w:vAlign w:val="center"/>
          </w:tcPr>
          <w:p w14:paraId="7723586F" w14:textId="2F8E5BC0" w:rsidR="00AB5C47" w:rsidRPr="006409BA" w:rsidRDefault="00AB5C47" w:rsidP="00AB5C47">
            <w:pPr>
              <w:spacing w:before="60" w:after="60"/>
              <w:rPr>
                <w:szCs w:val="22"/>
              </w:rPr>
            </w:pPr>
            <w:r>
              <w:rPr>
                <w:szCs w:val="22"/>
              </w:rPr>
              <w:t>Chief Executive Officer</w:t>
            </w:r>
          </w:p>
        </w:tc>
        <w:tc>
          <w:tcPr>
            <w:tcW w:w="495" w:type="dxa"/>
            <w:shd w:val="clear" w:color="auto" w:fill="FFFFFF" w:themeFill="background1"/>
            <w:vAlign w:val="center"/>
          </w:tcPr>
          <w:p w14:paraId="22049BBA" w14:textId="77777777" w:rsidR="00AB5C47" w:rsidRPr="00A13210" w:rsidRDefault="00AB5C47" w:rsidP="00AB5C47">
            <w:pPr>
              <w:spacing w:before="60" w:after="60"/>
            </w:pPr>
          </w:p>
        </w:tc>
        <w:tc>
          <w:tcPr>
            <w:tcW w:w="1134" w:type="dxa"/>
            <w:shd w:val="clear" w:color="auto" w:fill="FFFFFF" w:themeFill="background1"/>
            <w:vAlign w:val="center"/>
          </w:tcPr>
          <w:p w14:paraId="25D6FCB9" w14:textId="5A051AD6" w:rsidR="00AB5C47" w:rsidRPr="00AB5C47" w:rsidRDefault="00AB5C47" w:rsidP="00AB5C47">
            <w:pPr>
              <w:spacing w:before="60" w:after="60"/>
              <w:rPr>
                <w:szCs w:val="22"/>
              </w:rPr>
            </w:pPr>
            <w:r w:rsidRPr="00AB5C47">
              <w:rPr>
                <w:szCs w:val="22"/>
              </w:rPr>
              <w:t>PDP</w:t>
            </w:r>
          </w:p>
        </w:tc>
        <w:tc>
          <w:tcPr>
            <w:tcW w:w="3572" w:type="dxa"/>
            <w:shd w:val="clear" w:color="auto" w:fill="FFFFFF" w:themeFill="background1"/>
            <w:vAlign w:val="center"/>
          </w:tcPr>
          <w:p w14:paraId="43AA09FE" w14:textId="10E37423" w:rsidR="00AB5C47" w:rsidRPr="00AB5C47" w:rsidRDefault="00AB5C47" w:rsidP="00AB5C47">
            <w:pPr>
              <w:pStyle w:val="Default"/>
              <w:tabs>
                <w:tab w:val="left" w:pos="851"/>
              </w:tabs>
              <w:spacing w:before="60" w:after="60"/>
              <w:rPr>
                <w:color w:val="auto"/>
                <w:sz w:val="22"/>
                <w:szCs w:val="22"/>
                <w:u w:val="none"/>
              </w:rPr>
            </w:pPr>
            <w:r w:rsidRPr="00AB5C47">
              <w:rPr>
                <w:sz w:val="22"/>
                <w:szCs w:val="22"/>
                <w:u w:val="none"/>
              </w:rPr>
              <w:t>Performance and Development Planning</w:t>
            </w:r>
          </w:p>
        </w:tc>
      </w:tr>
      <w:tr w:rsidR="00AB5C47" w:rsidRPr="00A13210" w14:paraId="74449DFF" w14:textId="77777777" w:rsidTr="00AB5C47">
        <w:trPr>
          <w:trHeight w:val="847"/>
        </w:trPr>
        <w:tc>
          <w:tcPr>
            <w:tcW w:w="1191" w:type="dxa"/>
            <w:shd w:val="clear" w:color="auto" w:fill="FEDADD" w:themeFill="accent5"/>
            <w:vAlign w:val="center"/>
          </w:tcPr>
          <w:p w14:paraId="69FC8E04" w14:textId="03629D36" w:rsidR="00AB5C47" w:rsidRPr="00A13210" w:rsidRDefault="00AB5C47" w:rsidP="00AB5C47">
            <w:pPr>
              <w:spacing w:before="60" w:after="60"/>
            </w:pPr>
            <w:r w:rsidRPr="00A13210">
              <w:rPr>
                <w:szCs w:val="22"/>
              </w:rPr>
              <w:t>CRM</w:t>
            </w:r>
          </w:p>
        </w:tc>
        <w:tc>
          <w:tcPr>
            <w:tcW w:w="3572" w:type="dxa"/>
            <w:shd w:val="clear" w:color="auto" w:fill="FEDADD" w:themeFill="accent5"/>
            <w:vAlign w:val="center"/>
          </w:tcPr>
          <w:p w14:paraId="18E12DDC" w14:textId="7935C687" w:rsidR="00AB5C47" w:rsidRPr="00A13210" w:rsidRDefault="00AB5C47" w:rsidP="00AB5C47">
            <w:pPr>
              <w:spacing w:before="60" w:after="60"/>
            </w:pPr>
            <w:r w:rsidRPr="00A13210">
              <w:rPr>
                <w:szCs w:val="22"/>
              </w:rPr>
              <w:t>Customer Relationship Management</w:t>
            </w:r>
          </w:p>
        </w:tc>
        <w:tc>
          <w:tcPr>
            <w:tcW w:w="495" w:type="dxa"/>
            <w:shd w:val="clear" w:color="auto" w:fill="FEDADD" w:themeFill="accent5"/>
            <w:vAlign w:val="center"/>
          </w:tcPr>
          <w:p w14:paraId="11A914CF" w14:textId="77777777" w:rsidR="00AB5C47" w:rsidRPr="00A13210" w:rsidRDefault="00AB5C47" w:rsidP="00AB5C47">
            <w:pPr>
              <w:spacing w:before="60" w:after="60"/>
            </w:pPr>
          </w:p>
        </w:tc>
        <w:tc>
          <w:tcPr>
            <w:tcW w:w="1134" w:type="dxa"/>
            <w:shd w:val="clear" w:color="auto" w:fill="FEDADD" w:themeFill="accent5"/>
            <w:vAlign w:val="center"/>
          </w:tcPr>
          <w:p w14:paraId="1E901268" w14:textId="3ED06F9B" w:rsidR="00AB5C47" w:rsidRPr="00A13210" w:rsidRDefault="00AB5C47" w:rsidP="00AB5C47">
            <w:pPr>
              <w:spacing w:before="60" w:after="60"/>
            </w:pPr>
            <w:r w:rsidRPr="00AB5C47">
              <w:rPr>
                <w:szCs w:val="22"/>
              </w:rPr>
              <w:t>PSBA</w:t>
            </w:r>
          </w:p>
        </w:tc>
        <w:tc>
          <w:tcPr>
            <w:tcW w:w="3572" w:type="dxa"/>
            <w:shd w:val="clear" w:color="auto" w:fill="FEDADD" w:themeFill="accent5"/>
            <w:vAlign w:val="center"/>
          </w:tcPr>
          <w:p w14:paraId="181EE505" w14:textId="5D565CBB" w:rsidR="00AB5C47" w:rsidRPr="00A13210" w:rsidRDefault="00AB5C47" w:rsidP="00AB5C47">
            <w:pPr>
              <w:spacing w:before="60" w:after="60"/>
            </w:pPr>
            <w:r w:rsidRPr="00AB5C47">
              <w:rPr>
                <w:szCs w:val="22"/>
              </w:rPr>
              <w:t>Public Safety Business Agency</w:t>
            </w:r>
          </w:p>
        </w:tc>
      </w:tr>
      <w:tr w:rsidR="00AB5C47" w:rsidRPr="00A13210" w14:paraId="156DA556" w14:textId="77777777" w:rsidTr="00AB5C47">
        <w:trPr>
          <w:trHeight w:val="1082"/>
        </w:trPr>
        <w:tc>
          <w:tcPr>
            <w:tcW w:w="1191" w:type="dxa"/>
            <w:shd w:val="clear" w:color="auto" w:fill="FFFFFF" w:themeFill="background1"/>
            <w:vAlign w:val="center"/>
          </w:tcPr>
          <w:p w14:paraId="076E2DC9" w14:textId="1F0E25CD" w:rsidR="00AB5C47" w:rsidRPr="00A13210" w:rsidRDefault="00AB5C47" w:rsidP="00AB5C47">
            <w:pPr>
              <w:spacing w:before="60" w:after="60"/>
            </w:pPr>
            <w:r>
              <w:rPr>
                <w:szCs w:val="22"/>
              </w:rPr>
              <w:t>DCCSDS</w:t>
            </w:r>
          </w:p>
        </w:tc>
        <w:tc>
          <w:tcPr>
            <w:tcW w:w="3572" w:type="dxa"/>
            <w:shd w:val="clear" w:color="auto" w:fill="FFFFFF" w:themeFill="background1"/>
            <w:vAlign w:val="center"/>
          </w:tcPr>
          <w:p w14:paraId="28DF2C19" w14:textId="7CCCED94" w:rsidR="00AB5C47" w:rsidRPr="00A13210" w:rsidRDefault="00AB5C47" w:rsidP="00AB5C47">
            <w:pPr>
              <w:spacing w:before="60" w:after="60"/>
            </w:pPr>
            <w:r>
              <w:rPr>
                <w:szCs w:val="22"/>
              </w:rPr>
              <w:t>Department of Communities, Child Safety and Disability Services</w:t>
            </w:r>
          </w:p>
        </w:tc>
        <w:tc>
          <w:tcPr>
            <w:tcW w:w="495" w:type="dxa"/>
            <w:shd w:val="clear" w:color="auto" w:fill="FFFFFF" w:themeFill="background1"/>
            <w:vAlign w:val="center"/>
          </w:tcPr>
          <w:p w14:paraId="14AB77C7" w14:textId="77777777" w:rsidR="00AB5C47" w:rsidRPr="00A13210" w:rsidRDefault="00AB5C47" w:rsidP="00AB5C47">
            <w:pPr>
              <w:spacing w:before="60" w:after="60"/>
            </w:pPr>
          </w:p>
        </w:tc>
        <w:tc>
          <w:tcPr>
            <w:tcW w:w="1134" w:type="dxa"/>
            <w:shd w:val="clear" w:color="auto" w:fill="FFFFFF" w:themeFill="background1"/>
            <w:vAlign w:val="center"/>
          </w:tcPr>
          <w:p w14:paraId="111EC5B8" w14:textId="386C2360" w:rsidR="00AB5C47" w:rsidRPr="00A13210" w:rsidRDefault="00AB5C47" w:rsidP="00AB5C47">
            <w:pPr>
              <w:spacing w:before="60" w:after="60"/>
            </w:pPr>
            <w:r w:rsidRPr="00A13210">
              <w:rPr>
                <w:szCs w:val="22"/>
              </w:rPr>
              <w:t>QAO</w:t>
            </w:r>
          </w:p>
        </w:tc>
        <w:tc>
          <w:tcPr>
            <w:tcW w:w="3572" w:type="dxa"/>
            <w:shd w:val="clear" w:color="auto" w:fill="FFFFFF" w:themeFill="background1"/>
            <w:vAlign w:val="center"/>
          </w:tcPr>
          <w:p w14:paraId="6493CEB3" w14:textId="2795F9A3" w:rsidR="00AB5C47" w:rsidRPr="00A13210" w:rsidRDefault="00AB5C47" w:rsidP="00AB5C47">
            <w:pPr>
              <w:spacing w:before="60" w:after="60"/>
            </w:pPr>
            <w:r w:rsidRPr="00B85863">
              <w:rPr>
                <w:szCs w:val="22"/>
              </w:rPr>
              <w:t>Queensland Audit Office</w:t>
            </w:r>
          </w:p>
        </w:tc>
      </w:tr>
      <w:tr w:rsidR="00AB5C47" w:rsidRPr="00A13210" w14:paraId="4C78827A" w14:textId="77777777" w:rsidTr="00AB5C47">
        <w:trPr>
          <w:trHeight w:val="841"/>
        </w:trPr>
        <w:tc>
          <w:tcPr>
            <w:tcW w:w="1191" w:type="dxa"/>
            <w:shd w:val="clear" w:color="auto" w:fill="FEDADD" w:themeFill="accent5"/>
            <w:vAlign w:val="center"/>
          </w:tcPr>
          <w:p w14:paraId="2A6C94D5" w14:textId="5CC34B3D" w:rsidR="00AB5C47" w:rsidRPr="00A13210" w:rsidRDefault="00AB5C47" w:rsidP="00AB5C47">
            <w:pPr>
              <w:spacing w:before="60" w:after="60"/>
            </w:pPr>
            <w:r>
              <w:rPr>
                <w:szCs w:val="22"/>
              </w:rPr>
              <w:t>DILGP</w:t>
            </w:r>
          </w:p>
        </w:tc>
        <w:tc>
          <w:tcPr>
            <w:tcW w:w="3572" w:type="dxa"/>
            <w:shd w:val="clear" w:color="auto" w:fill="FEDADD" w:themeFill="accent5"/>
            <w:vAlign w:val="center"/>
          </w:tcPr>
          <w:p w14:paraId="229678E3" w14:textId="4B2A4265" w:rsidR="00AB5C47" w:rsidRPr="00A13210" w:rsidRDefault="00AB5C47" w:rsidP="00AB5C47">
            <w:pPr>
              <w:spacing w:before="60" w:after="60"/>
            </w:pPr>
            <w:r>
              <w:rPr>
                <w:szCs w:val="22"/>
              </w:rPr>
              <w:t>Department of Infrastructure, Local Government and Planning</w:t>
            </w:r>
          </w:p>
        </w:tc>
        <w:tc>
          <w:tcPr>
            <w:tcW w:w="495" w:type="dxa"/>
            <w:shd w:val="clear" w:color="auto" w:fill="FEDADD" w:themeFill="accent5"/>
            <w:vAlign w:val="center"/>
          </w:tcPr>
          <w:p w14:paraId="01A85736" w14:textId="77777777" w:rsidR="00AB5C47" w:rsidRPr="00A13210" w:rsidRDefault="00AB5C47" w:rsidP="00AB5C47">
            <w:pPr>
              <w:spacing w:before="60" w:after="60"/>
            </w:pPr>
          </w:p>
        </w:tc>
        <w:tc>
          <w:tcPr>
            <w:tcW w:w="1134" w:type="dxa"/>
            <w:shd w:val="clear" w:color="auto" w:fill="FEDADD" w:themeFill="accent5"/>
            <w:vAlign w:val="center"/>
          </w:tcPr>
          <w:p w14:paraId="322675AE" w14:textId="32D9EFE0" w:rsidR="00AB5C47" w:rsidRPr="00A13210" w:rsidRDefault="00AB5C47" w:rsidP="00AB5C47">
            <w:pPr>
              <w:spacing w:before="60" w:after="60"/>
            </w:pPr>
            <w:r w:rsidRPr="00A13210">
              <w:rPr>
                <w:szCs w:val="22"/>
              </w:rPr>
              <w:t>QFES</w:t>
            </w:r>
          </w:p>
        </w:tc>
        <w:tc>
          <w:tcPr>
            <w:tcW w:w="3572" w:type="dxa"/>
            <w:shd w:val="clear" w:color="auto" w:fill="FEDADD" w:themeFill="accent5"/>
            <w:vAlign w:val="center"/>
          </w:tcPr>
          <w:p w14:paraId="087D5D7F" w14:textId="6DD42243" w:rsidR="00AB5C47" w:rsidRPr="00A13210" w:rsidRDefault="00AB5C47" w:rsidP="00AB5C47">
            <w:pPr>
              <w:spacing w:before="60" w:after="60"/>
            </w:pPr>
            <w:r w:rsidRPr="00A13210">
              <w:rPr>
                <w:szCs w:val="22"/>
              </w:rPr>
              <w:t>Queensland Fire and Emergency Services</w:t>
            </w:r>
          </w:p>
        </w:tc>
      </w:tr>
      <w:tr w:rsidR="00AB5C47" w:rsidRPr="00A13210" w14:paraId="59C8BB7D" w14:textId="77777777" w:rsidTr="00AB5C47">
        <w:trPr>
          <w:trHeight w:val="525"/>
        </w:trPr>
        <w:tc>
          <w:tcPr>
            <w:tcW w:w="1191" w:type="dxa"/>
            <w:shd w:val="clear" w:color="auto" w:fill="FFFFFF" w:themeFill="background1"/>
            <w:vAlign w:val="center"/>
          </w:tcPr>
          <w:p w14:paraId="46326065" w14:textId="2F41F15D" w:rsidR="00AB5C47" w:rsidRPr="00A13210" w:rsidRDefault="00AB5C47" w:rsidP="00AB5C47">
            <w:pPr>
              <w:spacing w:before="60" w:after="60"/>
            </w:pPr>
            <w:r>
              <w:t>DFV</w:t>
            </w:r>
          </w:p>
        </w:tc>
        <w:tc>
          <w:tcPr>
            <w:tcW w:w="3572" w:type="dxa"/>
            <w:shd w:val="clear" w:color="auto" w:fill="FFFFFF" w:themeFill="background1"/>
            <w:vAlign w:val="center"/>
          </w:tcPr>
          <w:p w14:paraId="15A8CB3A" w14:textId="0FD53A01" w:rsidR="00AB5C47" w:rsidRPr="00A13210" w:rsidRDefault="00AB5C47" w:rsidP="00AB5C47">
            <w:pPr>
              <w:spacing w:before="60" w:after="60"/>
            </w:pPr>
            <w:r>
              <w:t>Domestic and Family Violence</w:t>
            </w:r>
          </w:p>
        </w:tc>
        <w:tc>
          <w:tcPr>
            <w:tcW w:w="495" w:type="dxa"/>
            <w:shd w:val="clear" w:color="auto" w:fill="FFFFFF" w:themeFill="background1"/>
            <w:vAlign w:val="center"/>
          </w:tcPr>
          <w:p w14:paraId="07891CF5" w14:textId="77777777" w:rsidR="00AB5C47" w:rsidRPr="00A13210" w:rsidRDefault="00AB5C47" w:rsidP="00AB5C47">
            <w:pPr>
              <w:spacing w:before="60" w:after="60"/>
            </w:pPr>
          </w:p>
        </w:tc>
        <w:tc>
          <w:tcPr>
            <w:tcW w:w="1134" w:type="dxa"/>
            <w:shd w:val="clear" w:color="auto" w:fill="FFFFFF" w:themeFill="background1"/>
            <w:vAlign w:val="center"/>
          </w:tcPr>
          <w:p w14:paraId="32288EEA" w14:textId="7A82B836" w:rsidR="00AB5C47" w:rsidRPr="00A13210" w:rsidRDefault="00AB5C47" w:rsidP="00AB5C47">
            <w:pPr>
              <w:spacing w:before="60" w:after="60"/>
            </w:pPr>
            <w:r>
              <w:t>QH</w:t>
            </w:r>
          </w:p>
        </w:tc>
        <w:tc>
          <w:tcPr>
            <w:tcW w:w="3572" w:type="dxa"/>
            <w:shd w:val="clear" w:color="auto" w:fill="FFFFFF" w:themeFill="background1"/>
            <w:vAlign w:val="center"/>
          </w:tcPr>
          <w:p w14:paraId="58FF6B6B" w14:textId="03E1F4D8" w:rsidR="00AB5C47" w:rsidRPr="00A13210" w:rsidRDefault="00AB5C47" w:rsidP="00AB5C47">
            <w:pPr>
              <w:spacing w:before="60" w:after="60"/>
            </w:pPr>
            <w:r>
              <w:t>Queensland Health</w:t>
            </w:r>
          </w:p>
        </w:tc>
      </w:tr>
      <w:tr w:rsidR="00AB5C47" w:rsidRPr="00A13210" w14:paraId="51A58633" w14:textId="77777777" w:rsidTr="00AB5C47">
        <w:trPr>
          <w:trHeight w:val="518"/>
        </w:trPr>
        <w:tc>
          <w:tcPr>
            <w:tcW w:w="1191" w:type="dxa"/>
            <w:shd w:val="clear" w:color="auto" w:fill="FEDADD" w:themeFill="accent5"/>
            <w:vAlign w:val="center"/>
          </w:tcPr>
          <w:p w14:paraId="04CD9F87" w14:textId="021EFB34" w:rsidR="00AB5C47" w:rsidRPr="00A13210" w:rsidRDefault="00AB5C47" w:rsidP="00AB5C47">
            <w:pPr>
              <w:spacing w:before="60" w:after="60"/>
            </w:pPr>
            <w:r w:rsidRPr="00A13210">
              <w:rPr>
                <w:szCs w:val="22"/>
              </w:rPr>
              <w:t>DMO</w:t>
            </w:r>
          </w:p>
        </w:tc>
        <w:tc>
          <w:tcPr>
            <w:tcW w:w="3572" w:type="dxa"/>
            <w:shd w:val="clear" w:color="auto" w:fill="FEDADD" w:themeFill="accent5"/>
            <w:vAlign w:val="center"/>
          </w:tcPr>
          <w:p w14:paraId="5F6DADD8" w14:textId="7997AE43" w:rsidR="00AB5C47" w:rsidRPr="00A13210" w:rsidRDefault="00AB5C47" w:rsidP="00AB5C47">
            <w:pPr>
              <w:spacing w:before="60" w:after="60"/>
            </w:pPr>
            <w:r w:rsidRPr="00A13210">
              <w:rPr>
                <w:szCs w:val="22"/>
              </w:rPr>
              <w:t>Disaster Management Officer</w:t>
            </w:r>
          </w:p>
        </w:tc>
        <w:tc>
          <w:tcPr>
            <w:tcW w:w="495" w:type="dxa"/>
            <w:shd w:val="clear" w:color="auto" w:fill="FEDADD" w:themeFill="accent5"/>
            <w:vAlign w:val="center"/>
          </w:tcPr>
          <w:p w14:paraId="0DB33354" w14:textId="77777777" w:rsidR="00AB5C47" w:rsidRPr="00A13210" w:rsidRDefault="00AB5C47" w:rsidP="00AB5C47">
            <w:pPr>
              <w:spacing w:before="60" w:after="60"/>
            </w:pPr>
          </w:p>
        </w:tc>
        <w:tc>
          <w:tcPr>
            <w:tcW w:w="1134" w:type="dxa"/>
            <w:shd w:val="clear" w:color="auto" w:fill="FEDADD" w:themeFill="accent5"/>
            <w:vAlign w:val="center"/>
          </w:tcPr>
          <w:p w14:paraId="2EC4DAA9" w14:textId="0E7AB473" w:rsidR="00AB5C47" w:rsidRPr="00A13210" w:rsidRDefault="00AB5C47" w:rsidP="00AB5C47">
            <w:pPr>
              <w:spacing w:before="60" w:after="60"/>
            </w:pPr>
            <w:r w:rsidRPr="00A13210">
              <w:rPr>
                <w:szCs w:val="22"/>
              </w:rPr>
              <w:t>QPS</w:t>
            </w:r>
          </w:p>
        </w:tc>
        <w:tc>
          <w:tcPr>
            <w:tcW w:w="3572" w:type="dxa"/>
            <w:shd w:val="clear" w:color="auto" w:fill="FEDADD" w:themeFill="accent5"/>
            <w:vAlign w:val="center"/>
          </w:tcPr>
          <w:p w14:paraId="51054143" w14:textId="1469592D" w:rsidR="00AB5C47" w:rsidRPr="00A13210" w:rsidRDefault="00AB5C47" w:rsidP="00AB5C47">
            <w:pPr>
              <w:spacing w:before="60" w:after="60"/>
            </w:pPr>
            <w:r w:rsidRPr="00A13210">
              <w:rPr>
                <w:szCs w:val="22"/>
              </w:rPr>
              <w:t>Queensland Police Service</w:t>
            </w:r>
          </w:p>
        </w:tc>
      </w:tr>
      <w:tr w:rsidR="00AB5C47" w:rsidRPr="000D4EF7" w14:paraId="19465017" w14:textId="77777777" w:rsidTr="00AB5C47">
        <w:trPr>
          <w:trHeight w:val="849"/>
        </w:trPr>
        <w:tc>
          <w:tcPr>
            <w:tcW w:w="1191" w:type="dxa"/>
            <w:shd w:val="clear" w:color="auto" w:fill="FFFFFF" w:themeFill="background1"/>
            <w:vAlign w:val="center"/>
          </w:tcPr>
          <w:p w14:paraId="561A2AB8" w14:textId="4B053F45" w:rsidR="00AB5C47" w:rsidRPr="00A13210" w:rsidRDefault="00AB5C47" w:rsidP="00AB5C47">
            <w:pPr>
              <w:spacing w:before="60" w:after="60"/>
            </w:pPr>
            <w:r>
              <w:rPr>
                <w:szCs w:val="22"/>
              </w:rPr>
              <w:t>DTMR</w:t>
            </w:r>
          </w:p>
        </w:tc>
        <w:tc>
          <w:tcPr>
            <w:tcW w:w="3572" w:type="dxa"/>
            <w:shd w:val="clear" w:color="auto" w:fill="FFFFFF" w:themeFill="background1"/>
            <w:vAlign w:val="center"/>
          </w:tcPr>
          <w:p w14:paraId="44E5A6AA" w14:textId="23591F72" w:rsidR="00AB5C47" w:rsidRPr="002D205F" w:rsidRDefault="00AB5C47" w:rsidP="00AB5C47">
            <w:pPr>
              <w:spacing w:before="60" w:after="60"/>
            </w:pPr>
            <w:r>
              <w:rPr>
                <w:szCs w:val="22"/>
              </w:rPr>
              <w:t>Department of Transport and Main Roads</w:t>
            </w:r>
          </w:p>
        </w:tc>
        <w:tc>
          <w:tcPr>
            <w:tcW w:w="495" w:type="dxa"/>
            <w:shd w:val="clear" w:color="auto" w:fill="FFFFFF" w:themeFill="background1"/>
            <w:vAlign w:val="center"/>
          </w:tcPr>
          <w:p w14:paraId="3937AF16" w14:textId="77777777" w:rsidR="00AB5C47" w:rsidRPr="00A13210" w:rsidRDefault="00AB5C47" w:rsidP="00AB5C47">
            <w:pPr>
              <w:spacing w:before="60" w:after="60"/>
            </w:pPr>
          </w:p>
        </w:tc>
        <w:tc>
          <w:tcPr>
            <w:tcW w:w="1134" w:type="dxa"/>
            <w:shd w:val="clear" w:color="auto" w:fill="FFFFFF" w:themeFill="background1"/>
            <w:vAlign w:val="center"/>
          </w:tcPr>
          <w:p w14:paraId="2844A4FA" w14:textId="288ECC12" w:rsidR="00AB5C47" w:rsidRPr="000D4EF7" w:rsidRDefault="00AB5C47" w:rsidP="00AB5C47">
            <w:pPr>
              <w:spacing w:before="60" w:after="60"/>
              <w:rPr>
                <w:szCs w:val="22"/>
              </w:rPr>
            </w:pPr>
            <w:r>
              <w:rPr>
                <w:szCs w:val="22"/>
              </w:rPr>
              <w:t>QRA</w:t>
            </w:r>
          </w:p>
        </w:tc>
        <w:tc>
          <w:tcPr>
            <w:tcW w:w="3572" w:type="dxa"/>
            <w:shd w:val="clear" w:color="auto" w:fill="FFFFFF" w:themeFill="background1"/>
            <w:vAlign w:val="center"/>
          </w:tcPr>
          <w:p w14:paraId="6C79D752" w14:textId="09379546" w:rsidR="00AB5C47" w:rsidRPr="000D4EF7" w:rsidRDefault="00AB5C47" w:rsidP="00AB5C47">
            <w:pPr>
              <w:spacing w:before="60" w:after="60"/>
              <w:rPr>
                <w:szCs w:val="22"/>
              </w:rPr>
            </w:pPr>
            <w:r>
              <w:rPr>
                <w:szCs w:val="22"/>
              </w:rPr>
              <w:t>Queensland Reconstruction Authority</w:t>
            </w:r>
          </w:p>
        </w:tc>
      </w:tr>
      <w:tr w:rsidR="00AB5C47" w:rsidRPr="000D4EF7" w14:paraId="1219D9F6" w14:textId="77777777" w:rsidTr="00D21C42">
        <w:trPr>
          <w:trHeight w:val="823"/>
        </w:trPr>
        <w:tc>
          <w:tcPr>
            <w:tcW w:w="1191" w:type="dxa"/>
            <w:shd w:val="clear" w:color="auto" w:fill="FEDADD" w:themeFill="accent5"/>
            <w:vAlign w:val="center"/>
          </w:tcPr>
          <w:p w14:paraId="397B3A07" w14:textId="2D18290A" w:rsidR="00AB5C47" w:rsidRPr="00A13210" w:rsidRDefault="00AB5C47" w:rsidP="00AB5C47">
            <w:pPr>
              <w:spacing w:before="60" w:after="60"/>
            </w:pPr>
            <w:r>
              <w:rPr>
                <w:szCs w:val="22"/>
              </w:rPr>
              <w:t>EMC</w:t>
            </w:r>
          </w:p>
        </w:tc>
        <w:tc>
          <w:tcPr>
            <w:tcW w:w="3572" w:type="dxa"/>
            <w:shd w:val="clear" w:color="auto" w:fill="FEDADD" w:themeFill="accent5"/>
            <w:vAlign w:val="center"/>
          </w:tcPr>
          <w:p w14:paraId="476DF6CF" w14:textId="12EB2932" w:rsidR="00AB5C47" w:rsidRPr="00A13210" w:rsidRDefault="00AB5C47" w:rsidP="00AB5C47">
            <w:pPr>
              <w:spacing w:before="60" w:after="60"/>
            </w:pPr>
            <w:r>
              <w:rPr>
                <w:szCs w:val="22"/>
              </w:rPr>
              <w:t>Emergency Management Committee</w:t>
            </w:r>
          </w:p>
        </w:tc>
        <w:tc>
          <w:tcPr>
            <w:tcW w:w="495" w:type="dxa"/>
            <w:shd w:val="clear" w:color="auto" w:fill="FEDADD" w:themeFill="accent5"/>
            <w:vAlign w:val="center"/>
          </w:tcPr>
          <w:p w14:paraId="60A23BFD" w14:textId="77777777" w:rsidR="00AB5C47" w:rsidRPr="00A13210" w:rsidRDefault="00AB5C47" w:rsidP="00AB5C47">
            <w:pPr>
              <w:spacing w:before="60" w:after="60"/>
            </w:pPr>
          </w:p>
        </w:tc>
        <w:tc>
          <w:tcPr>
            <w:tcW w:w="1134" w:type="dxa"/>
            <w:shd w:val="clear" w:color="auto" w:fill="FEDADD" w:themeFill="accent5"/>
            <w:vAlign w:val="center"/>
          </w:tcPr>
          <w:p w14:paraId="4AE43C1D" w14:textId="346663E4" w:rsidR="00AB5C47" w:rsidRPr="000D4EF7" w:rsidRDefault="00AB5C47" w:rsidP="00AB5C47">
            <w:pPr>
              <w:spacing w:before="60" w:after="60"/>
              <w:rPr>
                <w:szCs w:val="22"/>
              </w:rPr>
            </w:pPr>
            <w:r w:rsidRPr="000D4EF7">
              <w:rPr>
                <w:szCs w:val="22"/>
              </w:rPr>
              <w:t>QUT</w:t>
            </w:r>
          </w:p>
        </w:tc>
        <w:tc>
          <w:tcPr>
            <w:tcW w:w="3572" w:type="dxa"/>
            <w:shd w:val="clear" w:color="auto" w:fill="FEDADD" w:themeFill="accent5"/>
            <w:vAlign w:val="center"/>
          </w:tcPr>
          <w:p w14:paraId="30E31142" w14:textId="5712E3EA" w:rsidR="00AB5C47" w:rsidRPr="000D4EF7" w:rsidRDefault="00AB5C47" w:rsidP="00AB5C47">
            <w:pPr>
              <w:spacing w:before="60" w:after="60"/>
              <w:rPr>
                <w:i/>
                <w:szCs w:val="22"/>
              </w:rPr>
            </w:pPr>
            <w:r w:rsidRPr="000D4EF7">
              <w:rPr>
                <w:szCs w:val="22"/>
              </w:rPr>
              <w:t>Queensland University of Technology</w:t>
            </w:r>
          </w:p>
        </w:tc>
      </w:tr>
      <w:tr w:rsidR="00AB5C47" w:rsidRPr="000D4EF7" w14:paraId="5C7CE3E7" w14:textId="77777777" w:rsidTr="00AB5C47">
        <w:trPr>
          <w:trHeight w:val="546"/>
        </w:trPr>
        <w:tc>
          <w:tcPr>
            <w:tcW w:w="1191" w:type="dxa"/>
            <w:shd w:val="clear" w:color="auto" w:fill="FFFFFF" w:themeFill="background1"/>
            <w:vAlign w:val="center"/>
          </w:tcPr>
          <w:p w14:paraId="04CB62B3" w14:textId="09651372" w:rsidR="00AB5C47" w:rsidRPr="00A13210" w:rsidRDefault="00AB5C47" w:rsidP="00AB5C47">
            <w:pPr>
              <w:spacing w:before="60" w:after="60"/>
            </w:pPr>
            <w:r>
              <w:rPr>
                <w:szCs w:val="22"/>
              </w:rPr>
              <w:t>FTE</w:t>
            </w:r>
          </w:p>
        </w:tc>
        <w:tc>
          <w:tcPr>
            <w:tcW w:w="3572" w:type="dxa"/>
            <w:shd w:val="clear" w:color="auto" w:fill="FFFFFF" w:themeFill="background1"/>
            <w:vAlign w:val="center"/>
          </w:tcPr>
          <w:p w14:paraId="09962693" w14:textId="05A7B211" w:rsidR="00AB5C47" w:rsidRPr="00A13210" w:rsidRDefault="00AB5C47" w:rsidP="00AB5C47">
            <w:pPr>
              <w:spacing w:before="60" w:after="60"/>
            </w:pPr>
            <w:r>
              <w:rPr>
                <w:szCs w:val="22"/>
              </w:rPr>
              <w:t>Full time equivalent</w:t>
            </w:r>
          </w:p>
        </w:tc>
        <w:tc>
          <w:tcPr>
            <w:tcW w:w="495" w:type="dxa"/>
            <w:shd w:val="clear" w:color="auto" w:fill="FFFFFF" w:themeFill="background1"/>
            <w:vAlign w:val="center"/>
          </w:tcPr>
          <w:p w14:paraId="60529C0F" w14:textId="77777777" w:rsidR="00AB5C47" w:rsidRPr="00A13210" w:rsidRDefault="00AB5C47" w:rsidP="00AB5C47">
            <w:pPr>
              <w:spacing w:before="60" w:after="60"/>
            </w:pPr>
          </w:p>
        </w:tc>
        <w:tc>
          <w:tcPr>
            <w:tcW w:w="1134" w:type="dxa"/>
            <w:shd w:val="clear" w:color="auto" w:fill="FFFFFF" w:themeFill="background1"/>
            <w:vAlign w:val="center"/>
          </w:tcPr>
          <w:p w14:paraId="5C39D04D" w14:textId="0ABE69CB" w:rsidR="00AB5C47" w:rsidRPr="000D4EF7" w:rsidRDefault="00AB5C47" w:rsidP="00AB5C47">
            <w:pPr>
              <w:spacing w:before="60" w:after="60"/>
              <w:rPr>
                <w:szCs w:val="22"/>
              </w:rPr>
            </w:pPr>
            <w:r w:rsidRPr="000D4EF7">
              <w:rPr>
                <w:szCs w:val="22"/>
              </w:rPr>
              <w:t>RFS</w:t>
            </w:r>
          </w:p>
        </w:tc>
        <w:tc>
          <w:tcPr>
            <w:tcW w:w="3572" w:type="dxa"/>
            <w:shd w:val="clear" w:color="auto" w:fill="FFFFFF" w:themeFill="background1"/>
            <w:vAlign w:val="center"/>
          </w:tcPr>
          <w:p w14:paraId="30F9068C" w14:textId="45ED45CC" w:rsidR="00AB5C47" w:rsidRPr="000D4EF7" w:rsidRDefault="00AB5C47" w:rsidP="00AB5C47">
            <w:pPr>
              <w:spacing w:before="60" w:after="60"/>
              <w:rPr>
                <w:szCs w:val="22"/>
              </w:rPr>
            </w:pPr>
            <w:r w:rsidRPr="000D4EF7">
              <w:rPr>
                <w:szCs w:val="22"/>
              </w:rPr>
              <w:t>Rural Fire Service</w:t>
            </w:r>
          </w:p>
        </w:tc>
      </w:tr>
      <w:tr w:rsidR="00AB5C47" w:rsidRPr="000D4EF7" w14:paraId="36E83C3F" w14:textId="77777777" w:rsidTr="00AB5C47">
        <w:trPr>
          <w:trHeight w:val="553"/>
        </w:trPr>
        <w:tc>
          <w:tcPr>
            <w:tcW w:w="1191" w:type="dxa"/>
            <w:shd w:val="clear" w:color="auto" w:fill="FEDADD" w:themeFill="accent5"/>
            <w:vAlign w:val="center"/>
          </w:tcPr>
          <w:p w14:paraId="3E3FF3DA" w14:textId="0D66EBC1" w:rsidR="00AB5C47" w:rsidRPr="00A13210" w:rsidRDefault="00AB5C47" w:rsidP="00AB5C47">
            <w:pPr>
              <w:spacing w:before="60" w:after="60"/>
            </w:pPr>
            <w:r>
              <w:t>GST</w:t>
            </w:r>
          </w:p>
        </w:tc>
        <w:tc>
          <w:tcPr>
            <w:tcW w:w="3572" w:type="dxa"/>
            <w:shd w:val="clear" w:color="auto" w:fill="FEDADD" w:themeFill="accent5"/>
            <w:vAlign w:val="center"/>
          </w:tcPr>
          <w:p w14:paraId="367AD15B" w14:textId="406EF9B8" w:rsidR="00AB5C47" w:rsidRPr="00C17E7D" w:rsidRDefault="00AB5C47" w:rsidP="00AB5C47">
            <w:pPr>
              <w:spacing w:before="60" w:after="60"/>
              <w:rPr>
                <w:i/>
              </w:rPr>
            </w:pPr>
            <w:r>
              <w:t>Goods and services tax</w:t>
            </w:r>
          </w:p>
        </w:tc>
        <w:tc>
          <w:tcPr>
            <w:tcW w:w="495" w:type="dxa"/>
            <w:shd w:val="clear" w:color="auto" w:fill="FEDADD" w:themeFill="accent5"/>
            <w:vAlign w:val="center"/>
          </w:tcPr>
          <w:p w14:paraId="20BE5DC3" w14:textId="77777777" w:rsidR="00AB5C47" w:rsidRPr="00A13210" w:rsidRDefault="00AB5C47" w:rsidP="00AB5C47">
            <w:pPr>
              <w:spacing w:before="60" w:after="60"/>
            </w:pPr>
          </w:p>
        </w:tc>
        <w:tc>
          <w:tcPr>
            <w:tcW w:w="1134" w:type="dxa"/>
            <w:shd w:val="clear" w:color="auto" w:fill="FEDADD" w:themeFill="accent5"/>
            <w:vAlign w:val="center"/>
          </w:tcPr>
          <w:p w14:paraId="421FC32D" w14:textId="3A9B6DAA" w:rsidR="00AB5C47" w:rsidRPr="000D4EF7" w:rsidRDefault="00AB5C47" w:rsidP="00AB5C47">
            <w:pPr>
              <w:spacing w:before="60" w:after="60"/>
              <w:rPr>
                <w:szCs w:val="22"/>
              </w:rPr>
            </w:pPr>
            <w:r>
              <w:rPr>
                <w:szCs w:val="22"/>
              </w:rPr>
              <w:t>SDS</w:t>
            </w:r>
          </w:p>
        </w:tc>
        <w:tc>
          <w:tcPr>
            <w:tcW w:w="3572" w:type="dxa"/>
            <w:shd w:val="clear" w:color="auto" w:fill="FEDADD" w:themeFill="accent5"/>
            <w:vAlign w:val="center"/>
          </w:tcPr>
          <w:p w14:paraId="578F7E2C" w14:textId="77CAE254" w:rsidR="00AB5C47" w:rsidRPr="000D4EF7" w:rsidRDefault="00AB5C47" w:rsidP="00AB5C47">
            <w:pPr>
              <w:spacing w:before="60" w:after="60"/>
              <w:rPr>
                <w:szCs w:val="22"/>
              </w:rPr>
            </w:pPr>
            <w:r>
              <w:rPr>
                <w:szCs w:val="22"/>
              </w:rPr>
              <w:t>Service Delivery Statement</w:t>
            </w:r>
          </w:p>
        </w:tc>
      </w:tr>
      <w:tr w:rsidR="00AB5C47" w:rsidRPr="00A13210" w14:paraId="3848F4B5" w14:textId="77777777" w:rsidTr="00AB5C47">
        <w:trPr>
          <w:trHeight w:val="575"/>
        </w:trPr>
        <w:tc>
          <w:tcPr>
            <w:tcW w:w="1191" w:type="dxa"/>
            <w:shd w:val="clear" w:color="auto" w:fill="FFFFFF" w:themeFill="background1"/>
            <w:vAlign w:val="center"/>
          </w:tcPr>
          <w:p w14:paraId="065C03B3" w14:textId="73E17D3E" w:rsidR="00AB5C47" w:rsidRPr="00A13210" w:rsidRDefault="00AB5C47" w:rsidP="00AB5C47">
            <w:pPr>
              <w:spacing w:before="60" w:after="60"/>
            </w:pPr>
            <w:r w:rsidRPr="00A13210">
              <w:rPr>
                <w:szCs w:val="22"/>
              </w:rPr>
              <w:t>HR</w:t>
            </w:r>
          </w:p>
        </w:tc>
        <w:tc>
          <w:tcPr>
            <w:tcW w:w="3572" w:type="dxa"/>
            <w:shd w:val="clear" w:color="auto" w:fill="FFFFFF" w:themeFill="background1"/>
            <w:vAlign w:val="center"/>
          </w:tcPr>
          <w:p w14:paraId="13069018" w14:textId="2C8EB560" w:rsidR="00AB5C47" w:rsidRPr="00AD506A" w:rsidRDefault="00AB5C47" w:rsidP="00AB5C47">
            <w:pPr>
              <w:spacing w:before="60" w:after="60"/>
            </w:pPr>
            <w:r w:rsidRPr="00A13210">
              <w:rPr>
                <w:szCs w:val="22"/>
              </w:rPr>
              <w:t xml:space="preserve">Human Resource </w:t>
            </w:r>
          </w:p>
        </w:tc>
        <w:tc>
          <w:tcPr>
            <w:tcW w:w="495" w:type="dxa"/>
            <w:shd w:val="clear" w:color="auto" w:fill="FFFFFF" w:themeFill="background1"/>
            <w:vAlign w:val="center"/>
          </w:tcPr>
          <w:p w14:paraId="7DD2A6AE" w14:textId="77777777" w:rsidR="00AB5C47" w:rsidRPr="00A13210" w:rsidRDefault="00AB5C47" w:rsidP="00AB5C47">
            <w:pPr>
              <w:spacing w:before="60" w:after="60"/>
            </w:pPr>
          </w:p>
        </w:tc>
        <w:tc>
          <w:tcPr>
            <w:tcW w:w="1134" w:type="dxa"/>
            <w:shd w:val="clear" w:color="auto" w:fill="FFFFFF" w:themeFill="background1"/>
            <w:vAlign w:val="center"/>
          </w:tcPr>
          <w:p w14:paraId="155169BC" w14:textId="6C013011" w:rsidR="00AB5C47" w:rsidRPr="00A13210" w:rsidRDefault="00AB5C47" w:rsidP="00AB5C47">
            <w:pPr>
              <w:spacing w:before="60" w:after="60"/>
            </w:pPr>
            <w:r>
              <w:rPr>
                <w:szCs w:val="22"/>
              </w:rPr>
              <w:t>SES</w:t>
            </w:r>
          </w:p>
        </w:tc>
        <w:tc>
          <w:tcPr>
            <w:tcW w:w="3572" w:type="dxa"/>
            <w:shd w:val="clear" w:color="auto" w:fill="FFFFFF" w:themeFill="background1"/>
            <w:vAlign w:val="center"/>
          </w:tcPr>
          <w:p w14:paraId="6F5202F9" w14:textId="049DEF92" w:rsidR="00AB5C47" w:rsidRPr="00A13210" w:rsidRDefault="00AB5C47" w:rsidP="00AB5C47">
            <w:pPr>
              <w:spacing w:before="60" w:after="60"/>
            </w:pPr>
            <w:r>
              <w:rPr>
                <w:szCs w:val="22"/>
              </w:rPr>
              <w:t>State Emergency Service</w:t>
            </w:r>
          </w:p>
        </w:tc>
      </w:tr>
    </w:tbl>
    <w:p w14:paraId="4EE27741" w14:textId="456C83CE" w:rsidR="00830549" w:rsidRDefault="00830549" w:rsidP="00CD3A68">
      <w:pPr>
        <w:pStyle w:val="Default"/>
        <w:tabs>
          <w:tab w:val="left" w:pos="851"/>
        </w:tabs>
        <w:rPr>
          <w:highlight w:val="yellow"/>
          <w:u w:val="none"/>
        </w:rPr>
      </w:pPr>
    </w:p>
    <w:p w14:paraId="7D2667E4" w14:textId="77777777" w:rsidR="002755B8" w:rsidRDefault="002755B8" w:rsidP="00CD3A68">
      <w:pPr>
        <w:pStyle w:val="Default"/>
        <w:tabs>
          <w:tab w:val="left" w:pos="851"/>
        </w:tabs>
        <w:rPr>
          <w:highlight w:val="yellow"/>
          <w:u w:val="none"/>
        </w:rPr>
      </w:pPr>
    </w:p>
    <w:p w14:paraId="6105C710" w14:textId="6CC0808D" w:rsidR="00C903AA" w:rsidRDefault="00BD394B" w:rsidP="007703EB">
      <w:pPr>
        <w:pStyle w:val="Heading2"/>
      </w:pPr>
      <w:bookmarkStart w:id="251" w:name="_Toc460406698"/>
      <w:bookmarkStart w:id="252" w:name="_Toc460406848"/>
      <w:bookmarkStart w:id="253" w:name="_Toc460406884"/>
      <w:bookmarkStart w:id="254" w:name="_Toc460406963"/>
      <w:bookmarkStart w:id="255" w:name="_Toc460407077"/>
      <w:bookmarkStart w:id="256" w:name="_Toc492622973"/>
      <w:r>
        <w:lastRenderedPageBreak/>
        <w:t>Glossary</w:t>
      </w:r>
      <w:bookmarkEnd w:id="251"/>
      <w:bookmarkEnd w:id="252"/>
      <w:bookmarkEnd w:id="253"/>
      <w:bookmarkEnd w:id="254"/>
      <w:bookmarkEnd w:id="255"/>
      <w:bookmarkEnd w:id="256"/>
    </w:p>
    <w:tbl>
      <w:tblPr>
        <w:tblStyle w:val="TableGrid"/>
        <w:tblpPr w:leftFromText="180" w:rightFromText="180" w:vertAnchor="page" w:horzAnchor="margin" w:tblpX="-142" w:tblpY="2170"/>
        <w:tblW w:w="10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14"/>
      </w:tblGrid>
      <w:tr w:rsidR="00AC1773" w:rsidRPr="00C903AA" w14:paraId="677D7954" w14:textId="77777777" w:rsidTr="00AC1773">
        <w:tc>
          <w:tcPr>
            <w:tcW w:w="10114" w:type="dxa"/>
            <w:shd w:val="clear" w:color="auto" w:fill="FEDADD"/>
          </w:tcPr>
          <w:p w14:paraId="41397FD7" w14:textId="77777777" w:rsidR="00AC1773" w:rsidRDefault="00AC1773" w:rsidP="00AC1773">
            <w:pPr>
              <w:pStyle w:val="Default"/>
              <w:tabs>
                <w:tab w:val="left" w:pos="851"/>
              </w:tabs>
              <w:ind w:left="34"/>
              <w:rPr>
                <w:b/>
                <w:sz w:val="22"/>
                <w:szCs w:val="22"/>
                <w:u w:val="none"/>
              </w:rPr>
            </w:pPr>
          </w:p>
          <w:p w14:paraId="55EA43C7" w14:textId="77777777" w:rsidR="00AC1773" w:rsidRPr="00BD394B" w:rsidRDefault="00AC1773" w:rsidP="00AC1773">
            <w:pPr>
              <w:pStyle w:val="Default"/>
              <w:tabs>
                <w:tab w:val="left" w:pos="851"/>
              </w:tabs>
              <w:ind w:left="34"/>
              <w:rPr>
                <w:b/>
                <w:sz w:val="22"/>
                <w:szCs w:val="22"/>
                <w:u w:val="none"/>
              </w:rPr>
            </w:pPr>
            <w:r w:rsidRPr="00BD394B">
              <w:rPr>
                <w:b/>
                <w:sz w:val="22"/>
                <w:szCs w:val="22"/>
                <w:u w:val="none"/>
              </w:rPr>
              <w:t>Standard for Disaster Management in Queensland (the Standard)</w:t>
            </w:r>
          </w:p>
          <w:p w14:paraId="17371FFB" w14:textId="77777777" w:rsidR="00AC1773" w:rsidRPr="00C903AA" w:rsidRDefault="00AC1773" w:rsidP="00AC1773">
            <w:pPr>
              <w:pStyle w:val="Default"/>
              <w:tabs>
                <w:tab w:val="left" w:pos="851"/>
              </w:tabs>
              <w:ind w:left="34"/>
              <w:rPr>
                <w:sz w:val="22"/>
                <w:szCs w:val="22"/>
                <w:u w:val="none"/>
              </w:rPr>
            </w:pPr>
          </w:p>
          <w:p w14:paraId="38D2AF3C" w14:textId="0C195FB7" w:rsidR="00AC1773" w:rsidRPr="00C903AA" w:rsidRDefault="00AC1773" w:rsidP="00AC1773">
            <w:pPr>
              <w:pStyle w:val="Default"/>
              <w:tabs>
                <w:tab w:val="left" w:pos="851"/>
              </w:tabs>
              <w:ind w:left="34"/>
              <w:rPr>
                <w:sz w:val="22"/>
                <w:szCs w:val="22"/>
                <w:u w:val="none"/>
              </w:rPr>
            </w:pPr>
            <w:r w:rsidRPr="00C903AA">
              <w:rPr>
                <w:sz w:val="22"/>
                <w:szCs w:val="22"/>
                <w:u w:val="none"/>
              </w:rPr>
              <w:t>The Standard forms part of the Emergenc</w:t>
            </w:r>
            <w:r w:rsidR="00D21C42">
              <w:rPr>
                <w:sz w:val="22"/>
                <w:szCs w:val="22"/>
                <w:u w:val="none"/>
              </w:rPr>
              <w:t>y Management Assurance Framework</w:t>
            </w:r>
            <w:r w:rsidRPr="00C903AA">
              <w:rPr>
                <w:sz w:val="22"/>
                <w:szCs w:val="22"/>
                <w:u w:val="none"/>
              </w:rPr>
              <w:t>. The Standard establishes the performance requirements for all entities involved in disaster management and forms</w:t>
            </w:r>
            <w:r>
              <w:rPr>
                <w:sz w:val="22"/>
                <w:szCs w:val="22"/>
                <w:u w:val="none"/>
              </w:rPr>
              <w:t xml:space="preserve"> the basis of assurance a</w:t>
            </w:r>
            <w:r w:rsidRPr="00C903AA">
              <w:rPr>
                <w:sz w:val="22"/>
                <w:szCs w:val="22"/>
                <w:u w:val="none"/>
              </w:rPr>
              <w:t>ctivities undertaken by the Office of</w:t>
            </w:r>
            <w:r>
              <w:rPr>
                <w:sz w:val="22"/>
                <w:szCs w:val="22"/>
                <w:u w:val="none"/>
              </w:rPr>
              <w:t xml:space="preserve"> the </w:t>
            </w:r>
            <w:r w:rsidRPr="00C903AA">
              <w:rPr>
                <w:sz w:val="22"/>
                <w:szCs w:val="22"/>
                <w:u w:val="none"/>
              </w:rPr>
              <w:t>IGEM.</w:t>
            </w:r>
          </w:p>
          <w:p w14:paraId="05995C7A" w14:textId="77777777" w:rsidR="00AC1773" w:rsidRPr="00C903AA" w:rsidRDefault="00AC1773" w:rsidP="00AC1773">
            <w:pPr>
              <w:pStyle w:val="Default"/>
              <w:tabs>
                <w:tab w:val="left" w:pos="851"/>
              </w:tabs>
              <w:ind w:left="34"/>
              <w:rPr>
                <w:sz w:val="22"/>
                <w:szCs w:val="22"/>
                <w:u w:val="none"/>
              </w:rPr>
            </w:pPr>
          </w:p>
        </w:tc>
      </w:tr>
      <w:tr w:rsidR="00AC1773" w:rsidRPr="00C903AA" w14:paraId="295E6F2F" w14:textId="77777777" w:rsidTr="00AC1773">
        <w:tc>
          <w:tcPr>
            <w:tcW w:w="10114" w:type="dxa"/>
            <w:shd w:val="clear" w:color="auto" w:fill="auto"/>
          </w:tcPr>
          <w:p w14:paraId="53A47085" w14:textId="77777777" w:rsidR="00AC1773" w:rsidRDefault="00AC1773" w:rsidP="00AC1773">
            <w:pPr>
              <w:pStyle w:val="Default"/>
              <w:tabs>
                <w:tab w:val="left" w:pos="851"/>
              </w:tabs>
              <w:ind w:left="34"/>
              <w:rPr>
                <w:b/>
                <w:sz w:val="22"/>
                <w:szCs w:val="22"/>
                <w:u w:val="none"/>
              </w:rPr>
            </w:pPr>
          </w:p>
          <w:p w14:paraId="667D7275" w14:textId="44799AA4" w:rsidR="00AC1773" w:rsidRPr="00BD394B" w:rsidRDefault="00AC1773" w:rsidP="00AC1773">
            <w:pPr>
              <w:pStyle w:val="Default"/>
              <w:tabs>
                <w:tab w:val="left" w:pos="851"/>
              </w:tabs>
              <w:ind w:left="34"/>
              <w:rPr>
                <w:b/>
                <w:sz w:val="22"/>
                <w:szCs w:val="22"/>
                <w:u w:val="none"/>
              </w:rPr>
            </w:pPr>
            <w:r w:rsidRPr="00BD394B">
              <w:rPr>
                <w:b/>
                <w:sz w:val="22"/>
                <w:szCs w:val="22"/>
                <w:u w:val="none"/>
              </w:rPr>
              <w:t>Emergency Management Assurance Framework</w:t>
            </w:r>
            <w:r w:rsidR="00D21C42">
              <w:rPr>
                <w:b/>
                <w:sz w:val="22"/>
                <w:szCs w:val="22"/>
                <w:u w:val="none"/>
              </w:rPr>
              <w:t xml:space="preserve"> (the Framework)</w:t>
            </w:r>
          </w:p>
          <w:p w14:paraId="759CF207" w14:textId="77777777" w:rsidR="00AC1773" w:rsidRPr="00C903AA" w:rsidRDefault="00AC1773" w:rsidP="00AC1773">
            <w:pPr>
              <w:pStyle w:val="Default"/>
              <w:tabs>
                <w:tab w:val="left" w:pos="851"/>
              </w:tabs>
              <w:ind w:left="34"/>
              <w:rPr>
                <w:sz w:val="22"/>
                <w:szCs w:val="22"/>
                <w:u w:val="none"/>
              </w:rPr>
            </w:pPr>
          </w:p>
          <w:p w14:paraId="20FDFC98" w14:textId="77777777" w:rsidR="00AC1773" w:rsidRPr="00C903AA" w:rsidRDefault="00AC1773" w:rsidP="00AC1773">
            <w:pPr>
              <w:pStyle w:val="Default"/>
              <w:tabs>
                <w:tab w:val="left" w:pos="851"/>
              </w:tabs>
              <w:ind w:left="34"/>
              <w:rPr>
                <w:sz w:val="22"/>
                <w:szCs w:val="22"/>
                <w:u w:val="none"/>
              </w:rPr>
            </w:pPr>
            <w:r w:rsidRPr="00C903AA">
              <w:rPr>
                <w:sz w:val="22"/>
                <w:szCs w:val="22"/>
                <w:u w:val="none"/>
              </w:rPr>
              <w:t>The Framework supports all levels of Queensland’s disaster management arrangements</w:t>
            </w:r>
            <w:r w:rsidRPr="00C903AA">
              <w:rPr>
                <w:spacing w:val="-28"/>
                <w:sz w:val="22"/>
                <w:szCs w:val="22"/>
                <w:u w:val="none"/>
              </w:rPr>
              <w:t xml:space="preserve"> </w:t>
            </w:r>
            <w:r w:rsidRPr="00C903AA">
              <w:rPr>
                <w:sz w:val="22"/>
                <w:szCs w:val="22"/>
                <w:u w:val="none"/>
              </w:rPr>
              <w:t>to continually improve disaster management performance. It is based on existing legislative responsibilities as prescribed in the</w:t>
            </w:r>
            <w:r w:rsidRPr="00C903AA">
              <w:rPr>
                <w:spacing w:val="-29"/>
                <w:sz w:val="22"/>
                <w:szCs w:val="22"/>
                <w:u w:val="none"/>
              </w:rPr>
              <w:t xml:space="preserve"> </w:t>
            </w:r>
            <w:r w:rsidRPr="00C903AA">
              <w:rPr>
                <w:i/>
                <w:sz w:val="22"/>
                <w:szCs w:val="22"/>
                <w:u w:val="none"/>
              </w:rPr>
              <w:t xml:space="preserve">Disaster Management Act 2003 </w:t>
            </w:r>
            <w:r w:rsidRPr="00C903AA">
              <w:rPr>
                <w:sz w:val="22"/>
                <w:szCs w:val="22"/>
                <w:u w:val="none"/>
              </w:rPr>
              <w:t>and consists of three parts: Principles; the Standard for</w:t>
            </w:r>
            <w:r w:rsidRPr="00C903AA">
              <w:rPr>
                <w:spacing w:val="-18"/>
                <w:sz w:val="22"/>
                <w:szCs w:val="22"/>
                <w:u w:val="none"/>
              </w:rPr>
              <w:t xml:space="preserve"> </w:t>
            </w:r>
            <w:r w:rsidRPr="00C903AA">
              <w:rPr>
                <w:sz w:val="22"/>
                <w:szCs w:val="22"/>
                <w:u w:val="none"/>
              </w:rPr>
              <w:t>Disaster Management in Queensland (the Standard); and Assurance</w:t>
            </w:r>
            <w:r w:rsidRPr="00C903AA">
              <w:rPr>
                <w:spacing w:val="-22"/>
                <w:sz w:val="22"/>
                <w:szCs w:val="22"/>
                <w:u w:val="none"/>
              </w:rPr>
              <w:t xml:space="preserve"> </w:t>
            </w:r>
            <w:r w:rsidRPr="00C903AA">
              <w:rPr>
                <w:sz w:val="22"/>
                <w:szCs w:val="22"/>
                <w:u w:val="none"/>
              </w:rPr>
              <w:t>Activities. It describes the attributes of effective disaster management, outlines</w:t>
            </w:r>
            <w:r w:rsidRPr="00C903AA">
              <w:rPr>
                <w:spacing w:val="-10"/>
                <w:sz w:val="22"/>
                <w:szCs w:val="22"/>
                <w:u w:val="none"/>
              </w:rPr>
              <w:t xml:space="preserve"> </w:t>
            </w:r>
            <w:r w:rsidRPr="00C903AA">
              <w:rPr>
                <w:sz w:val="22"/>
                <w:szCs w:val="22"/>
                <w:u w:val="none"/>
              </w:rPr>
              <w:t>to stakeholders the required outcomes against the Standard and provides indicators that will</w:t>
            </w:r>
            <w:r w:rsidRPr="00C903AA">
              <w:rPr>
                <w:spacing w:val="-32"/>
                <w:sz w:val="22"/>
                <w:szCs w:val="22"/>
                <w:u w:val="none"/>
              </w:rPr>
              <w:t xml:space="preserve"> </w:t>
            </w:r>
            <w:r w:rsidRPr="00C903AA">
              <w:rPr>
                <w:sz w:val="22"/>
                <w:szCs w:val="22"/>
                <w:u w:val="none"/>
              </w:rPr>
              <w:t>contribute to the likelihood of disaster management entities achieving these</w:t>
            </w:r>
            <w:r w:rsidRPr="00C903AA">
              <w:rPr>
                <w:spacing w:val="-27"/>
                <w:sz w:val="22"/>
                <w:szCs w:val="22"/>
                <w:u w:val="none"/>
              </w:rPr>
              <w:t xml:space="preserve"> </w:t>
            </w:r>
            <w:r w:rsidRPr="00C903AA">
              <w:rPr>
                <w:sz w:val="22"/>
                <w:szCs w:val="22"/>
                <w:u w:val="none"/>
              </w:rPr>
              <w:t>outcomes.</w:t>
            </w:r>
            <w:r>
              <w:rPr>
                <w:sz w:val="22"/>
                <w:szCs w:val="22"/>
                <w:u w:val="none"/>
              </w:rPr>
              <w:t xml:space="preserve"> </w:t>
            </w:r>
          </w:p>
          <w:p w14:paraId="4AD0050C" w14:textId="77777777" w:rsidR="00AC1773" w:rsidRPr="00C903AA" w:rsidRDefault="00AC1773" w:rsidP="00AC1773">
            <w:pPr>
              <w:pStyle w:val="Default"/>
              <w:tabs>
                <w:tab w:val="left" w:pos="851"/>
              </w:tabs>
              <w:ind w:left="34"/>
              <w:rPr>
                <w:sz w:val="22"/>
                <w:szCs w:val="22"/>
                <w:u w:val="none"/>
              </w:rPr>
            </w:pPr>
          </w:p>
        </w:tc>
      </w:tr>
    </w:tbl>
    <w:p w14:paraId="3B76287B" w14:textId="0FC20A6F" w:rsidR="00AC1773" w:rsidRDefault="00AC1773"/>
    <w:p w14:paraId="2216FC86" w14:textId="77777777" w:rsidR="00AC1773" w:rsidRDefault="00AC1773">
      <w:r>
        <w:br w:type="page"/>
      </w:r>
    </w:p>
    <w:p w14:paraId="663EBC13" w14:textId="77777777" w:rsidR="00775B74" w:rsidRDefault="00775B74"/>
    <w:tbl>
      <w:tblPr>
        <w:tblStyle w:val="FinancialTable"/>
        <w:tblpPr w:leftFromText="180" w:rightFromText="180" w:vertAnchor="text" w:horzAnchor="margin" w:tblpX="-162" w:tblpY="630"/>
        <w:tblW w:w="10237" w:type="dxa"/>
        <w:tblBorders>
          <w:top w:val="single" w:sz="8" w:space="0" w:color="670022" w:themeColor="accent1" w:themeShade="BF"/>
          <w:bottom w:val="single" w:sz="8" w:space="0" w:color="670022" w:themeColor="accent1" w:themeShade="BF"/>
          <w:insideH w:val="single" w:sz="8" w:space="0" w:color="670022" w:themeColor="accent1" w:themeShade="BF"/>
        </w:tblBorders>
        <w:tblLayout w:type="fixed"/>
        <w:tblLook w:val="01E0" w:firstRow="1" w:lastRow="1" w:firstColumn="1" w:lastColumn="1" w:noHBand="0" w:noVBand="0"/>
      </w:tblPr>
      <w:tblGrid>
        <w:gridCol w:w="1864"/>
        <w:gridCol w:w="4120"/>
        <w:gridCol w:w="2835"/>
        <w:gridCol w:w="1418"/>
      </w:tblGrid>
      <w:tr w:rsidR="000A1ADD" w:rsidRPr="00341581" w14:paraId="734DCD67" w14:textId="77777777" w:rsidTr="000A1ADD">
        <w:trPr>
          <w:cnfStyle w:val="100000000000" w:firstRow="1" w:lastRow="0" w:firstColumn="0" w:lastColumn="0" w:oddVBand="0" w:evenVBand="0" w:oddHBand="0" w:evenHBand="0" w:firstRowFirstColumn="0" w:firstRowLastColumn="0" w:lastRowFirstColumn="0" w:lastRowLastColumn="0"/>
          <w:trHeight w:hRule="exact" w:val="731"/>
          <w:tblHeader/>
        </w:trPr>
        <w:tc>
          <w:tcPr>
            <w:cnfStyle w:val="001000000000" w:firstRow="0" w:lastRow="0" w:firstColumn="1" w:lastColumn="0" w:oddVBand="0" w:evenVBand="0" w:oddHBand="0" w:evenHBand="0" w:firstRowFirstColumn="0" w:firstRowLastColumn="0" w:lastRowFirstColumn="0" w:lastRowLastColumn="0"/>
            <w:tcW w:w="5984" w:type="dxa"/>
            <w:gridSpan w:val="2"/>
            <w:tcBorders>
              <w:top w:val="single" w:sz="8" w:space="0" w:color="8A002E"/>
              <w:left w:val="single" w:sz="8" w:space="0" w:color="8A002E"/>
              <w:bottom w:val="single" w:sz="8" w:space="0" w:color="8A002E"/>
            </w:tcBorders>
            <w:shd w:val="clear" w:color="auto" w:fill="AB054C"/>
          </w:tcPr>
          <w:p w14:paraId="148FFA4B" w14:textId="77777777" w:rsidR="000A1ADD" w:rsidRPr="00CC416C" w:rsidRDefault="000A1ADD" w:rsidP="000A1ADD">
            <w:pPr>
              <w:widowControl w:val="0"/>
              <w:spacing w:before="0"/>
              <w:rPr>
                <w:rFonts w:eastAsia="Arial"/>
                <w:b/>
                <w:color w:val="FFFFFF" w:themeColor="background1"/>
                <w:sz w:val="24"/>
                <w:szCs w:val="18"/>
              </w:rPr>
            </w:pPr>
            <w:bookmarkStart w:id="257" w:name="_Toc460406699"/>
            <w:bookmarkStart w:id="258" w:name="_Toc460406849"/>
            <w:bookmarkStart w:id="259" w:name="_Toc460406885"/>
            <w:bookmarkStart w:id="260" w:name="_Toc460406964"/>
            <w:bookmarkStart w:id="261" w:name="_Toc460407078"/>
            <w:bookmarkStart w:id="262" w:name="_Toc415049815"/>
            <w:bookmarkStart w:id="263" w:name="_Toc415050367"/>
            <w:bookmarkStart w:id="264" w:name="_Toc441671829"/>
            <w:bookmarkStart w:id="265" w:name="_Toc441672117"/>
            <w:bookmarkStart w:id="266" w:name="_Toc442168904"/>
            <w:r w:rsidRPr="00CC416C">
              <w:rPr>
                <w:rFonts w:eastAsia="Calibri"/>
                <w:b/>
                <w:caps w:val="0"/>
                <w:color w:val="FFFFFF" w:themeColor="background1"/>
                <w:sz w:val="24"/>
                <w:szCs w:val="22"/>
              </w:rPr>
              <w:t>Summary of</w:t>
            </w:r>
            <w:r w:rsidRPr="00CC416C">
              <w:rPr>
                <w:rFonts w:eastAsia="Calibri"/>
                <w:b/>
                <w:color w:val="FFFFFF" w:themeColor="background1"/>
                <w:spacing w:val="-9"/>
                <w:sz w:val="24"/>
                <w:szCs w:val="22"/>
              </w:rPr>
              <w:t xml:space="preserve"> </w:t>
            </w:r>
            <w:r w:rsidRPr="00CC416C">
              <w:rPr>
                <w:rFonts w:eastAsia="Calibri"/>
                <w:b/>
                <w:caps w:val="0"/>
                <w:color w:val="FFFFFF" w:themeColor="background1"/>
                <w:sz w:val="24"/>
                <w:szCs w:val="22"/>
              </w:rPr>
              <w:t>requirement</w:t>
            </w:r>
          </w:p>
        </w:tc>
        <w:tc>
          <w:tcPr>
            <w:tcW w:w="2835" w:type="dxa"/>
            <w:tcBorders>
              <w:top w:val="single" w:sz="8" w:space="0" w:color="8A002E"/>
              <w:bottom w:val="single" w:sz="8" w:space="0" w:color="8A002E"/>
            </w:tcBorders>
            <w:shd w:val="clear" w:color="auto" w:fill="AB054C"/>
          </w:tcPr>
          <w:p w14:paraId="7281C81D" w14:textId="77777777" w:rsidR="000A1ADD" w:rsidRPr="00CC416C" w:rsidRDefault="000A1ADD" w:rsidP="000A1ADD">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color w:val="FFFFFF" w:themeColor="background1"/>
                <w:sz w:val="24"/>
                <w:szCs w:val="18"/>
              </w:rPr>
            </w:pPr>
            <w:r w:rsidRPr="00CC416C">
              <w:rPr>
                <w:rFonts w:eastAsia="Calibri"/>
                <w:b/>
                <w:caps w:val="0"/>
                <w:color w:val="FFFFFF" w:themeColor="background1"/>
                <w:sz w:val="24"/>
                <w:szCs w:val="22"/>
              </w:rPr>
              <w:t>Basis for</w:t>
            </w:r>
            <w:r w:rsidRPr="00CC416C">
              <w:rPr>
                <w:rFonts w:eastAsia="Calibri"/>
                <w:b/>
                <w:color w:val="FFFFFF" w:themeColor="background1"/>
                <w:spacing w:val="-7"/>
                <w:sz w:val="24"/>
                <w:szCs w:val="22"/>
              </w:rPr>
              <w:t xml:space="preserve"> </w:t>
            </w:r>
            <w:r w:rsidRPr="00CC416C">
              <w:rPr>
                <w:rFonts w:eastAsia="Calibri"/>
                <w:b/>
                <w:caps w:val="0"/>
                <w:color w:val="FFFFFF" w:themeColor="background1"/>
                <w:sz w:val="24"/>
                <w:szCs w:val="22"/>
              </w:rPr>
              <w:t>requirement</w:t>
            </w:r>
          </w:p>
        </w:tc>
        <w:tc>
          <w:tcPr>
            <w:tcW w:w="1418" w:type="dxa"/>
            <w:tcBorders>
              <w:top w:val="single" w:sz="8" w:space="0" w:color="8A002E"/>
              <w:bottom w:val="single" w:sz="8" w:space="0" w:color="8A002E"/>
              <w:right w:val="single" w:sz="8" w:space="0" w:color="8A002E"/>
            </w:tcBorders>
            <w:shd w:val="clear" w:color="auto" w:fill="AB054C"/>
          </w:tcPr>
          <w:p w14:paraId="77E6FB90" w14:textId="77777777" w:rsidR="000A1ADD" w:rsidRPr="00CC416C" w:rsidRDefault="000A1ADD" w:rsidP="000A1ADD">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color w:val="FFFFFF" w:themeColor="background1"/>
                <w:sz w:val="24"/>
                <w:szCs w:val="18"/>
              </w:rPr>
            </w:pPr>
            <w:r>
              <w:rPr>
                <w:rFonts w:eastAsia="Calibri"/>
                <w:b/>
                <w:caps w:val="0"/>
                <w:color w:val="FFFFFF" w:themeColor="background1"/>
                <w:sz w:val="24"/>
                <w:szCs w:val="22"/>
              </w:rPr>
              <w:t>P</w:t>
            </w:r>
            <w:r w:rsidRPr="00CC416C">
              <w:rPr>
                <w:rFonts w:eastAsia="Calibri"/>
                <w:b/>
                <w:caps w:val="0"/>
                <w:color w:val="FFFFFF" w:themeColor="background1"/>
                <w:sz w:val="24"/>
                <w:szCs w:val="22"/>
              </w:rPr>
              <w:t>age reference</w:t>
            </w:r>
          </w:p>
        </w:tc>
      </w:tr>
      <w:tr w:rsidR="000A1ADD" w:rsidRPr="00341581" w14:paraId="7E4E8D6D" w14:textId="77777777" w:rsidTr="008F02C1">
        <w:trPr>
          <w:trHeight w:hRule="exact" w:val="700"/>
        </w:trPr>
        <w:tc>
          <w:tcPr>
            <w:cnfStyle w:val="001000000000" w:firstRow="0" w:lastRow="0" w:firstColumn="1" w:lastColumn="0" w:oddVBand="0" w:evenVBand="0" w:oddHBand="0" w:evenHBand="0" w:firstRowFirstColumn="0" w:firstRowLastColumn="0" w:lastRowFirstColumn="0" w:lastRowLastColumn="0"/>
            <w:tcW w:w="1864" w:type="dxa"/>
            <w:tcBorders>
              <w:top w:val="single" w:sz="8" w:space="0" w:color="8A002E"/>
              <w:bottom w:val="single" w:sz="12" w:space="0" w:color="AB054C"/>
            </w:tcBorders>
          </w:tcPr>
          <w:p w14:paraId="0ACDDFA2" w14:textId="77777777" w:rsidR="000A1ADD" w:rsidRPr="00341581" w:rsidRDefault="000A1ADD" w:rsidP="000A1ADD">
            <w:pPr>
              <w:widowControl w:val="0"/>
              <w:spacing w:after="120"/>
              <w:ind w:left="103"/>
              <w:rPr>
                <w:rFonts w:eastAsia="Arial"/>
                <w:sz w:val="18"/>
                <w:szCs w:val="18"/>
              </w:rPr>
            </w:pPr>
            <w:r w:rsidRPr="00341581">
              <w:rPr>
                <w:rFonts w:eastAsia="Calibri"/>
                <w:sz w:val="18"/>
                <w:szCs w:val="22"/>
              </w:rPr>
              <w:t>Letter of compliance</w:t>
            </w:r>
          </w:p>
        </w:tc>
        <w:tc>
          <w:tcPr>
            <w:tcW w:w="4120" w:type="dxa"/>
            <w:tcBorders>
              <w:top w:val="single" w:sz="8" w:space="0" w:color="8A002E"/>
              <w:bottom w:val="single" w:sz="12" w:space="0" w:color="AB054C"/>
            </w:tcBorders>
          </w:tcPr>
          <w:p w14:paraId="1708FD08"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A letter of compliance from</w:t>
            </w:r>
            <w:r w:rsidRPr="00341581">
              <w:rPr>
                <w:rFonts w:eastAsia="Calibri"/>
                <w:spacing w:val="-11"/>
                <w:sz w:val="18"/>
                <w:szCs w:val="22"/>
              </w:rPr>
              <w:t xml:space="preserve"> </w:t>
            </w:r>
            <w:r w:rsidRPr="00341581">
              <w:rPr>
                <w:rFonts w:eastAsia="Calibri"/>
                <w:sz w:val="18"/>
                <w:szCs w:val="22"/>
              </w:rPr>
              <w:t xml:space="preserve">the accountable officer </w:t>
            </w:r>
            <w:r>
              <w:rPr>
                <w:rFonts w:eastAsia="Calibri"/>
                <w:sz w:val="18"/>
                <w:szCs w:val="22"/>
              </w:rPr>
              <w:t>to the Minister</w:t>
            </w:r>
          </w:p>
        </w:tc>
        <w:tc>
          <w:tcPr>
            <w:tcW w:w="2835" w:type="dxa"/>
            <w:tcBorders>
              <w:top w:val="single" w:sz="8" w:space="0" w:color="8A002E"/>
              <w:bottom w:val="single" w:sz="12" w:space="0" w:color="AB054C"/>
            </w:tcBorders>
          </w:tcPr>
          <w:p w14:paraId="4EDFD1B4" w14:textId="70D33F12"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 xml:space="preserve">ARRs </w:t>
            </w:r>
            <w:r w:rsidRPr="00341581">
              <w:rPr>
                <w:rFonts w:eastAsia="Arial"/>
                <w:i/>
                <w:sz w:val="18"/>
                <w:szCs w:val="18"/>
              </w:rPr>
              <w:t xml:space="preserve">– </w:t>
            </w:r>
            <w:r w:rsidRPr="00341581">
              <w:rPr>
                <w:rFonts w:eastAsia="Arial"/>
                <w:sz w:val="18"/>
                <w:szCs w:val="18"/>
              </w:rPr>
              <w:t>section</w:t>
            </w:r>
            <w:r w:rsidRPr="00341581">
              <w:rPr>
                <w:rFonts w:eastAsia="Arial"/>
                <w:spacing w:val="-7"/>
                <w:sz w:val="18"/>
                <w:szCs w:val="18"/>
              </w:rPr>
              <w:t xml:space="preserve"> </w:t>
            </w:r>
            <w:r w:rsidR="00CB2DF5">
              <w:rPr>
                <w:rFonts w:eastAsia="Arial"/>
                <w:sz w:val="18"/>
                <w:szCs w:val="18"/>
              </w:rPr>
              <w:t>7</w:t>
            </w:r>
          </w:p>
        </w:tc>
        <w:tc>
          <w:tcPr>
            <w:tcW w:w="1418" w:type="dxa"/>
            <w:tcBorders>
              <w:top w:val="single" w:sz="8" w:space="0" w:color="8A002E"/>
              <w:bottom w:val="single" w:sz="12" w:space="0" w:color="AB054C"/>
            </w:tcBorders>
            <w:shd w:val="clear" w:color="auto" w:fill="auto"/>
          </w:tcPr>
          <w:p w14:paraId="7B7CD043" w14:textId="73279A29"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ii</w:t>
            </w:r>
          </w:p>
        </w:tc>
      </w:tr>
      <w:tr w:rsidR="000A1ADD" w:rsidRPr="00341581" w14:paraId="50B98C28" w14:textId="77777777" w:rsidTr="008F02C1">
        <w:trPr>
          <w:trHeight w:hRule="exact" w:val="749"/>
        </w:trPr>
        <w:tc>
          <w:tcPr>
            <w:cnfStyle w:val="001000000000" w:firstRow="0" w:lastRow="0" w:firstColumn="1" w:lastColumn="0" w:oddVBand="0" w:evenVBand="0" w:oddHBand="0" w:evenHBand="0" w:firstRowFirstColumn="0" w:firstRowLastColumn="0" w:lastRowFirstColumn="0" w:lastRowLastColumn="0"/>
            <w:tcW w:w="1864" w:type="dxa"/>
            <w:vMerge w:val="restart"/>
            <w:tcBorders>
              <w:top w:val="single" w:sz="12" w:space="0" w:color="AB054C"/>
              <w:bottom w:val="single" w:sz="12" w:space="0" w:color="AB054C"/>
            </w:tcBorders>
          </w:tcPr>
          <w:p w14:paraId="26948ECD" w14:textId="77777777" w:rsidR="000A1ADD" w:rsidRPr="00341581" w:rsidRDefault="000A1ADD" w:rsidP="000A1ADD">
            <w:pPr>
              <w:widowControl w:val="0"/>
              <w:spacing w:after="120"/>
              <w:ind w:left="103"/>
              <w:rPr>
                <w:rFonts w:eastAsia="Arial"/>
                <w:sz w:val="18"/>
                <w:szCs w:val="18"/>
              </w:rPr>
            </w:pPr>
            <w:r w:rsidRPr="00341581">
              <w:rPr>
                <w:rFonts w:eastAsia="Calibri"/>
                <w:sz w:val="18"/>
                <w:szCs w:val="22"/>
              </w:rPr>
              <w:t>Accessibility</w:t>
            </w:r>
          </w:p>
        </w:tc>
        <w:tc>
          <w:tcPr>
            <w:tcW w:w="4120" w:type="dxa"/>
            <w:tcBorders>
              <w:top w:val="single" w:sz="12" w:space="0" w:color="AB054C"/>
              <w:bottom w:val="single" w:sz="8" w:space="0" w:color="AB054C"/>
            </w:tcBorders>
          </w:tcPr>
          <w:p w14:paraId="2C372039"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Table of</w:t>
            </w:r>
            <w:r w:rsidRPr="00341581">
              <w:rPr>
                <w:rFonts w:eastAsia="Calibri"/>
                <w:spacing w:val="-2"/>
                <w:sz w:val="18"/>
                <w:szCs w:val="22"/>
              </w:rPr>
              <w:t xml:space="preserve"> </w:t>
            </w:r>
            <w:r w:rsidRPr="00341581">
              <w:rPr>
                <w:rFonts w:eastAsia="Calibri"/>
                <w:sz w:val="18"/>
                <w:szCs w:val="22"/>
              </w:rPr>
              <w:t>contents</w:t>
            </w:r>
          </w:p>
          <w:p w14:paraId="59DBE4B3"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Acronyms</w:t>
            </w:r>
            <w:r>
              <w:rPr>
                <w:rFonts w:eastAsia="Calibri"/>
                <w:sz w:val="18"/>
                <w:szCs w:val="22"/>
              </w:rPr>
              <w:t xml:space="preserve"> and Glossary</w:t>
            </w:r>
          </w:p>
        </w:tc>
        <w:tc>
          <w:tcPr>
            <w:tcW w:w="2835" w:type="dxa"/>
            <w:tcBorders>
              <w:top w:val="single" w:sz="12" w:space="0" w:color="AB054C"/>
              <w:bottom w:val="single" w:sz="8" w:space="0" w:color="AB054C"/>
            </w:tcBorders>
          </w:tcPr>
          <w:p w14:paraId="63E1977E" w14:textId="52788C6B"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9</w:t>
            </w:r>
            <w:r w:rsidRPr="00341581">
              <w:rPr>
                <w:rFonts w:eastAsia="Arial"/>
                <w:sz w:val="18"/>
                <w:szCs w:val="18"/>
              </w:rPr>
              <w:t>.1</w:t>
            </w:r>
          </w:p>
        </w:tc>
        <w:tc>
          <w:tcPr>
            <w:tcW w:w="1418" w:type="dxa"/>
            <w:tcBorders>
              <w:top w:val="single" w:sz="12" w:space="0" w:color="AB054C"/>
              <w:bottom w:val="single" w:sz="8" w:space="0" w:color="AB054C"/>
            </w:tcBorders>
            <w:shd w:val="clear" w:color="auto" w:fill="auto"/>
          </w:tcPr>
          <w:p w14:paraId="7395ADE1" w14:textId="77777777"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w:t>
            </w:r>
          </w:p>
          <w:p w14:paraId="607DAF43" w14:textId="10C00A4B" w:rsidR="00CB2DF5" w:rsidRPr="008F02C1" w:rsidRDefault="00AF77B9"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59-60</w:t>
            </w:r>
          </w:p>
        </w:tc>
      </w:tr>
      <w:tr w:rsidR="000A1ADD" w:rsidRPr="00341581" w14:paraId="19F8AA4A" w14:textId="77777777" w:rsidTr="008F02C1">
        <w:trPr>
          <w:trHeight w:hRule="exact" w:val="430"/>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AB054C"/>
            </w:tcBorders>
          </w:tcPr>
          <w:p w14:paraId="7942CD2B"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12C5E761"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Public availability</w:t>
            </w:r>
          </w:p>
        </w:tc>
        <w:tc>
          <w:tcPr>
            <w:tcW w:w="2835" w:type="dxa"/>
            <w:tcBorders>
              <w:top w:val="single" w:sz="8" w:space="0" w:color="AB054C"/>
              <w:bottom w:val="single" w:sz="8" w:space="0" w:color="AB054C"/>
            </w:tcBorders>
          </w:tcPr>
          <w:p w14:paraId="4D4A3859" w14:textId="49DAFF6E"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9</w:t>
            </w:r>
            <w:r w:rsidRPr="00341581">
              <w:rPr>
                <w:rFonts w:eastAsia="Arial"/>
                <w:sz w:val="18"/>
                <w:szCs w:val="18"/>
              </w:rPr>
              <w:t>.2</w:t>
            </w:r>
          </w:p>
        </w:tc>
        <w:tc>
          <w:tcPr>
            <w:tcW w:w="1418" w:type="dxa"/>
            <w:tcBorders>
              <w:top w:val="single" w:sz="8" w:space="0" w:color="AB054C"/>
              <w:bottom w:val="single" w:sz="8" w:space="0" w:color="AB054C"/>
            </w:tcBorders>
            <w:shd w:val="clear" w:color="auto" w:fill="auto"/>
          </w:tcPr>
          <w:p w14:paraId="33608C71" w14:textId="71860B14"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i</w:t>
            </w:r>
          </w:p>
        </w:tc>
      </w:tr>
      <w:tr w:rsidR="000A1ADD" w:rsidRPr="00341581" w14:paraId="36AABDD6" w14:textId="77777777" w:rsidTr="008F02C1">
        <w:trPr>
          <w:trHeight w:hRule="exact" w:val="931"/>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AB054C"/>
            </w:tcBorders>
          </w:tcPr>
          <w:p w14:paraId="73A98730"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49B42004"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Interpreter service</w:t>
            </w:r>
            <w:r w:rsidRPr="00341581">
              <w:rPr>
                <w:rFonts w:eastAsia="Calibri"/>
                <w:spacing w:val="-4"/>
                <w:sz w:val="18"/>
                <w:szCs w:val="22"/>
              </w:rPr>
              <w:t xml:space="preserve"> </w:t>
            </w:r>
            <w:r w:rsidRPr="00341581">
              <w:rPr>
                <w:rFonts w:eastAsia="Calibri"/>
                <w:sz w:val="18"/>
                <w:szCs w:val="22"/>
              </w:rPr>
              <w:t>statement</w:t>
            </w:r>
          </w:p>
        </w:tc>
        <w:tc>
          <w:tcPr>
            <w:tcW w:w="2835" w:type="dxa"/>
            <w:tcBorders>
              <w:top w:val="single" w:sz="8" w:space="0" w:color="AB054C"/>
              <w:bottom w:val="single" w:sz="8" w:space="0" w:color="AB054C"/>
            </w:tcBorders>
          </w:tcPr>
          <w:p w14:paraId="1E3D22BB" w14:textId="77777777" w:rsidR="000A1ADD" w:rsidRDefault="000A1ADD" w:rsidP="000A1ADD">
            <w:pPr>
              <w:widowControl w:val="0"/>
              <w:spacing w:after="120"/>
              <w:ind w:left="103" w:right="505"/>
              <w:cnfStyle w:val="000000000000" w:firstRow="0" w:lastRow="0" w:firstColumn="0" w:lastColumn="0" w:oddVBand="0" w:evenVBand="0" w:oddHBand="0" w:evenHBand="0" w:firstRowFirstColumn="0" w:firstRowLastColumn="0" w:lastRowFirstColumn="0" w:lastRowLastColumn="0"/>
              <w:rPr>
                <w:rFonts w:eastAsia="Calibri"/>
                <w:i/>
                <w:sz w:val="18"/>
                <w:szCs w:val="22"/>
              </w:rPr>
            </w:pPr>
            <w:r w:rsidRPr="00341581">
              <w:rPr>
                <w:rFonts w:eastAsia="Calibri"/>
                <w:i/>
                <w:sz w:val="18"/>
                <w:szCs w:val="22"/>
              </w:rPr>
              <w:t>Queensland</w:t>
            </w:r>
            <w:r w:rsidRPr="00341581">
              <w:rPr>
                <w:rFonts w:eastAsia="Calibri"/>
                <w:i/>
                <w:spacing w:val="-5"/>
                <w:sz w:val="18"/>
                <w:szCs w:val="22"/>
              </w:rPr>
              <w:t xml:space="preserve"> </w:t>
            </w:r>
            <w:r w:rsidRPr="00341581">
              <w:rPr>
                <w:rFonts w:eastAsia="Calibri"/>
                <w:i/>
                <w:sz w:val="18"/>
                <w:szCs w:val="22"/>
              </w:rPr>
              <w:t>Government Language Services</w:t>
            </w:r>
            <w:r w:rsidRPr="00341581">
              <w:rPr>
                <w:rFonts w:eastAsia="Calibri"/>
                <w:i/>
                <w:spacing w:val="-11"/>
                <w:sz w:val="18"/>
                <w:szCs w:val="22"/>
              </w:rPr>
              <w:t xml:space="preserve"> </w:t>
            </w:r>
            <w:r w:rsidRPr="00341581">
              <w:rPr>
                <w:rFonts w:eastAsia="Calibri"/>
                <w:i/>
                <w:sz w:val="18"/>
                <w:szCs w:val="22"/>
              </w:rPr>
              <w:t>Policy</w:t>
            </w:r>
          </w:p>
          <w:p w14:paraId="2A6A1B47" w14:textId="09E470D3"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9</w:t>
            </w:r>
            <w:r w:rsidRPr="00341581">
              <w:rPr>
                <w:rFonts w:eastAsia="Arial"/>
                <w:sz w:val="18"/>
                <w:szCs w:val="18"/>
              </w:rPr>
              <w:t>.3</w:t>
            </w:r>
          </w:p>
        </w:tc>
        <w:tc>
          <w:tcPr>
            <w:tcW w:w="1418" w:type="dxa"/>
            <w:tcBorders>
              <w:top w:val="single" w:sz="8" w:space="0" w:color="AB054C"/>
              <w:bottom w:val="single" w:sz="8" w:space="0" w:color="AB054C"/>
            </w:tcBorders>
            <w:shd w:val="clear" w:color="auto" w:fill="auto"/>
          </w:tcPr>
          <w:p w14:paraId="43A5473D" w14:textId="3E640297"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i</w:t>
            </w:r>
          </w:p>
        </w:tc>
      </w:tr>
      <w:tr w:rsidR="000A1ADD" w:rsidRPr="00341581" w14:paraId="0FBCD23C" w14:textId="77777777" w:rsidTr="008F02C1">
        <w:trPr>
          <w:trHeight w:hRule="exact" w:val="722"/>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AB054C"/>
            </w:tcBorders>
          </w:tcPr>
          <w:p w14:paraId="4F4189F1"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2055BC2B"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Copyright</w:t>
            </w:r>
            <w:r w:rsidRPr="00341581">
              <w:rPr>
                <w:rFonts w:eastAsia="Calibri"/>
                <w:spacing w:val="-1"/>
                <w:sz w:val="18"/>
                <w:szCs w:val="22"/>
              </w:rPr>
              <w:t xml:space="preserve"> </w:t>
            </w:r>
            <w:r w:rsidRPr="00341581">
              <w:rPr>
                <w:rFonts w:eastAsia="Calibri"/>
                <w:sz w:val="18"/>
                <w:szCs w:val="22"/>
              </w:rPr>
              <w:t>notice</w:t>
            </w:r>
          </w:p>
        </w:tc>
        <w:tc>
          <w:tcPr>
            <w:tcW w:w="2835" w:type="dxa"/>
            <w:tcBorders>
              <w:top w:val="single" w:sz="8" w:space="0" w:color="AB054C"/>
              <w:bottom w:val="single" w:sz="8" w:space="0" w:color="AB054C"/>
            </w:tcBorders>
          </w:tcPr>
          <w:p w14:paraId="14207A64" w14:textId="77777777"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i/>
                <w:sz w:val="18"/>
                <w:szCs w:val="22"/>
              </w:rPr>
              <w:t>Copyright Act</w:t>
            </w:r>
            <w:r w:rsidRPr="00341581">
              <w:rPr>
                <w:rFonts w:eastAsia="Calibri"/>
                <w:i/>
                <w:spacing w:val="-6"/>
                <w:sz w:val="18"/>
                <w:szCs w:val="22"/>
              </w:rPr>
              <w:t xml:space="preserve"> </w:t>
            </w:r>
            <w:r w:rsidRPr="00341581">
              <w:rPr>
                <w:rFonts w:eastAsia="Calibri"/>
                <w:i/>
                <w:sz w:val="18"/>
                <w:szCs w:val="22"/>
              </w:rPr>
              <w:t>1968</w:t>
            </w:r>
          </w:p>
          <w:p w14:paraId="3D040DB8" w14:textId="1798B8B2" w:rsidR="000A1ADD" w:rsidRPr="00341581" w:rsidRDefault="000A1ADD" w:rsidP="00CB2DF5">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9</w:t>
            </w:r>
            <w:r w:rsidRPr="00341581">
              <w:rPr>
                <w:rFonts w:eastAsia="Arial"/>
                <w:sz w:val="18"/>
                <w:szCs w:val="18"/>
              </w:rPr>
              <w:t>.4</w:t>
            </w:r>
          </w:p>
        </w:tc>
        <w:tc>
          <w:tcPr>
            <w:tcW w:w="1418" w:type="dxa"/>
            <w:tcBorders>
              <w:top w:val="single" w:sz="8" w:space="0" w:color="AB054C"/>
              <w:bottom w:val="single" w:sz="8" w:space="0" w:color="AB054C"/>
            </w:tcBorders>
            <w:shd w:val="clear" w:color="auto" w:fill="auto"/>
          </w:tcPr>
          <w:p w14:paraId="5F8F18F2" w14:textId="58F23045"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i</w:t>
            </w:r>
          </w:p>
        </w:tc>
      </w:tr>
      <w:tr w:rsidR="000A1ADD" w:rsidRPr="00341581" w14:paraId="636670E8" w14:textId="77777777" w:rsidTr="008F02C1">
        <w:trPr>
          <w:trHeight w:hRule="exact" w:val="725"/>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AB054C"/>
            </w:tcBorders>
          </w:tcPr>
          <w:p w14:paraId="59DA04DD" w14:textId="77777777" w:rsidR="000A1ADD" w:rsidRPr="00341581" w:rsidRDefault="000A1ADD" w:rsidP="000A1ADD">
            <w:pPr>
              <w:spacing w:after="120"/>
              <w:rPr>
                <w:rFonts w:eastAsia="Calibri"/>
              </w:rPr>
            </w:pPr>
          </w:p>
        </w:tc>
        <w:tc>
          <w:tcPr>
            <w:tcW w:w="4120" w:type="dxa"/>
            <w:tcBorders>
              <w:top w:val="single" w:sz="8" w:space="0" w:color="AB054C"/>
              <w:bottom w:val="single" w:sz="12" w:space="0" w:color="AB054C"/>
            </w:tcBorders>
          </w:tcPr>
          <w:p w14:paraId="1BF96D8D"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Information Licensing</w:t>
            </w:r>
          </w:p>
        </w:tc>
        <w:tc>
          <w:tcPr>
            <w:tcW w:w="2835" w:type="dxa"/>
            <w:tcBorders>
              <w:top w:val="single" w:sz="8" w:space="0" w:color="AB054C"/>
              <w:bottom w:val="single" w:sz="12" w:space="0" w:color="AB054C"/>
            </w:tcBorders>
          </w:tcPr>
          <w:p w14:paraId="4AEC76D7" w14:textId="77777777"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i/>
                <w:sz w:val="18"/>
                <w:szCs w:val="18"/>
              </w:rPr>
              <w:t>QGEA – Information</w:t>
            </w:r>
            <w:r w:rsidRPr="00341581">
              <w:rPr>
                <w:rFonts w:eastAsia="Arial"/>
                <w:i/>
                <w:spacing w:val="-9"/>
                <w:sz w:val="18"/>
                <w:szCs w:val="18"/>
              </w:rPr>
              <w:t xml:space="preserve"> </w:t>
            </w:r>
            <w:r w:rsidRPr="00341581">
              <w:rPr>
                <w:rFonts w:eastAsia="Arial"/>
                <w:i/>
                <w:sz w:val="18"/>
                <w:szCs w:val="18"/>
              </w:rPr>
              <w:t>Licensing</w:t>
            </w:r>
          </w:p>
          <w:p w14:paraId="6C97EDEB" w14:textId="5B6FC69E"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9</w:t>
            </w:r>
            <w:r w:rsidRPr="00341581">
              <w:rPr>
                <w:rFonts w:eastAsia="Arial"/>
                <w:sz w:val="18"/>
                <w:szCs w:val="18"/>
              </w:rPr>
              <w:t>.5</w:t>
            </w:r>
          </w:p>
        </w:tc>
        <w:tc>
          <w:tcPr>
            <w:tcW w:w="1418" w:type="dxa"/>
            <w:tcBorders>
              <w:top w:val="single" w:sz="8" w:space="0" w:color="AB054C"/>
              <w:bottom w:val="single" w:sz="12" w:space="0" w:color="AB054C"/>
            </w:tcBorders>
            <w:shd w:val="clear" w:color="auto" w:fill="auto"/>
          </w:tcPr>
          <w:p w14:paraId="1B8F4C15" w14:textId="6A238F03"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i</w:t>
            </w:r>
          </w:p>
        </w:tc>
      </w:tr>
      <w:tr w:rsidR="000A1ADD" w:rsidRPr="00341581" w14:paraId="2C77FA22" w14:textId="77777777" w:rsidTr="008F02C1">
        <w:trPr>
          <w:trHeight w:hRule="exact" w:val="494"/>
        </w:trPr>
        <w:tc>
          <w:tcPr>
            <w:cnfStyle w:val="001000000000" w:firstRow="0" w:lastRow="0" w:firstColumn="1" w:lastColumn="0" w:oddVBand="0" w:evenVBand="0" w:oddHBand="0" w:evenHBand="0" w:firstRowFirstColumn="0" w:firstRowLastColumn="0" w:lastRowFirstColumn="0" w:lastRowLastColumn="0"/>
            <w:tcW w:w="1864" w:type="dxa"/>
            <w:vMerge w:val="restart"/>
            <w:tcBorders>
              <w:top w:val="single" w:sz="12" w:space="0" w:color="AB054C"/>
              <w:bottom w:val="single" w:sz="8" w:space="0" w:color="AB054C"/>
            </w:tcBorders>
          </w:tcPr>
          <w:p w14:paraId="6C0665B8" w14:textId="77777777" w:rsidR="000A1ADD" w:rsidRPr="00341581" w:rsidRDefault="000A1ADD" w:rsidP="000A1ADD">
            <w:pPr>
              <w:widowControl w:val="0"/>
              <w:spacing w:after="120"/>
              <w:ind w:left="103" w:right="142"/>
              <w:rPr>
                <w:rFonts w:eastAsia="Arial"/>
                <w:sz w:val="18"/>
                <w:szCs w:val="18"/>
              </w:rPr>
            </w:pPr>
            <w:r w:rsidRPr="00341581">
              <w:rPr>
                <w:rFonts w:eastAsia="Calibri"/>
                <w:sz w:val="18"/>
                <w:szCs w:val="22"/>
              </w:rPr>
              <w:t>General information</w:t>
            </w:r>
          </w:p>
        </w:tc>
        <w:tc>
          <w:tcPr>
            <w:tcW w:w="4120" w:type="dxa"/>
            <w:tcBorders>
              <w:top w:val="single" w:sz="12" w:space="0" w:color="AB054C"/>
              <w:bottom w:val="single" w:sz="8" w:space="0" w:color="AB054C"/>
            </w:tcBorders>
          </w:tcPr>
          <w:p w14:paraId="4C794432"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Introductory</w:t>
            </w:r>
            <w:r w:rsidRPr="00341581">
              <w:rPr>
                <w:rFonts w:eastAsia="Calibri"/>
                <w:spacing w:val="-2"/>
                <w:sz w:val="18"/>
                <w:szCs w:val="22"/>
              </w:rPr>
              <w:t xml:space="preserve"> </w:t>
            </w:r>
            <w:r>
              <w:rPr>
                <w:rFonts w:eastAsia="Calibri"/>
                <w:sz w:val="18"/>
                <w:szCs w:val="22"/>
              </w:rPr>
              <w:t>i</w:t>
            </w:r>
            <w:r w:rsidRPr="00341581">
              <w:rPr>
                <w:rFonts w:eastAsia="Calibri"/>
                <w:sz w:val="18"/>
                <w:szCs w:val="22"/>
              </w:rPr>
              <w:t>nformation</w:t>
            </w:r>
          </w:p>
        </w:tc>
        <w:tc>
          <w:tcPr>
            <w:tcW w:w="2835" w:type="dxa"/>
            <w:tcBorders>
              <w:top w:val="single" w:sz="12" w:space="0" w:color="AB054C"/>
              <w:bottom w:val="single" w:sz="8" w:space="0" w:color="AB054C"/>
            </w:tcBorders>
          </w:tcPr>
          <w:p w14:paraId="633A11D8" w14:textId="315AED28"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10</w:t>
            </w:r>
            <w:r w:rsidRPr="00341581">
              <w:rPr>
                <w:rFonts w:eastAsia="Arial"/>
                <w:sz w:val="18"/>
                <w:szCs w:val="18"/>
              </w:rPr>
              <w:t>.1</w:t>
            </w:r>
          </w:p>
        </w:tc>
        <w:tc>
          <w:tcPr>
            <w:tcW w:w="1418" w:type="dxa"/>
            <w:tcBorders>
              <w:top w:val="single" w:sz="12" w:space="0" w:color="AB054C"/>
              <w:bottom w:val="single" w:sz="8" w:space="0" w:color="AB054C"/>
            </w:tcBorders>
            <w:shd w:val="clear" w:color="auto" w:fill="auto"/>
          </w:tcPr>
          <w:p w14:paraId="45CB89F3" w14:textId="1D6F625F" w:rsidR="000A1ADD" w:rsidRPr="008F02C1" w:rsidRDefault="00CB2DF5"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4-17</w:t>
            </w:r>
          </w:p>
        </w:tc>
      </w:tr>
      <w:tr w:rsidR="000A1ADD" w:rsidRPr="00341581" w14:paraId="6FAE287D" w14:textId="77777777" w:rsidTr="008F02C1">
        <w:trPr>
          <w:trHeight w:hRule="exact" w:val="430"/>
        </w:trPr>
        <w:tc>
          <w:tcPr>
            <w:cnfStyle w:val="001000000000" w:firstRow="0" w:lastRow="0" w:firstColumn="1" w:lastColumn="0" w:oddVBand="0" w:evenVBand="0" w:oddHBand="0" w:evenHBand="0" w:firstRowFirstColumn="0" w:firstRowLastColumn="0" w:lastRowFirstColumn="0" w:lastRowLastColumn="0"/>
            <w:tcW w:w="1864" w:type="dxa"/>
            <w:vMerge/>
            <w:tcBorders>
              <w:top w:val="single" w:sz="8" w:space="0" w:color="AB054C"/>
              <w:bottom w:val="single" w:sz="8" w:space="0" w:color="AB054C"/>
            </w:tcBorders>
          </w:tcPr>
          <w:p w14:paraId="11C3AF70"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1B2E214C"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Agency role and main</w:t>
            </w:r>
            <w:r w:rsidRPr="00341581">
              <w:rPr>
                <w:rFonts w:eastAsia="Calibri"/>
                <w:spacing w:val="-6"/>
                <w:sz w:val="18"/>
                <w:szCs w:val="22"/>
              </w:rPr>
              <w:t xml:space="preserve"> </w:t>
            </w:r>
            <w:r w:rsidRPr="00341581">
              <w:rPr>
                <w:rFonts w:eastAsia="Calibri"/>
                <w:sz w:val="18"/>
                <w:szCs w:val="22"/>
              </w:rPr>
              <w:t>functions</w:t>
            </w:r>
          </w:p>
        </w:tc>
        <w:tc>
          <w:tcPr>
            <w:tcW w:w="2835" w:type="dxa"/>
            <w:tcBorders>
              <w:top w:val="single" w:sz="8" w:space="0" w:color="AB054C"/>
              <w:bottom w:val="single" w:sz="8" w:space="0" w:color="AB054C"/>
            </w:tcBorders>
          </w:tcPr>
          <w:p w14:paraId="53C030A2" w14:textId="71B6D74D" w:rsidR="000A1ADD" w:rsidRPr="00341581" w:rsidRDefault="000A1ADD" w:rsidP="00CB2DF5">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Pr="00341581">
              <w:rPr>
                <w:rFonts w:eastAsia="Arial"/>
                <w:sz w:val="18"/>
                <w:szCs w:val="18"/>
              </w:rPr>
              <w:t>1</w:t>
            </w:r>
            <w:r w:rsidR="00CB2DF5">
              <w:rPr>
                <w:rFonts w:eastAsia="Arial"/>
                <w:sz w:val="18"/>
                <w:szCs w:val="18"/>
              </w:rPr>
              <w:t>0</w:t>
            </w:r>
            <w:r w:rsidRPr="00341581">
              <w:rPr>
                <w:rFonts w:eastAsia="Arial"/>
                <w:sz w:val="18"/>
                <w:szCs w:val="18"/>
              </w:rPr>
              <w:t>.2</w:t>
            </w:r>
          </w:p>
        </w:tc>
        <w:tc>
          <w:tcPr>
            <w:tcW w:w="1418" w:type="dxa"/>
            <w:tcBorders>
              <w:top w:val="single" w:sz="8" w:space="0" w:color="AB054C"/>
              <w:bottom w:val="single" w:sz="8" w:space="0" w:color="AB054C"/>
            </w:tcBorders>
            <w:shd w:val="clear" w:color="auto" w:fill="auto"/>
          </w:tcPr>
          <w:p w14:paraId="0F169065" w14:textId="674AF65B" w:rsidR="000A1ADD" w:rsidRPr="008F02C1" w:rsidRDefault="00CB2DF5" w:rsidP="00A944EB">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4, 11-17 +</w:t>
            </w:r>
            <w:r w:rsidR="00AF77B9">
              <w:rPr>
                <w:rFonts w:eastAsia="Arial"/>
                <w:sz w:val="18"/>
                <w:szCs w:val="18"/>
              </w:rPr>
              <w:t xml:space="preserve"> 63</w:t>
            </w:r>
          </w:p>
        </w:tc>
      </w:tr>
      <w:tr w:rsidR="000A1ADD" w:rsidRPr="00341581" w14:paraId="49854931" w14:textId="77777777" w:rsidTr="008F02C1">
        <w:trPr>
          <w:trHeight w:hRule="exact" w:val="430"/>
        </w:trPr>
        <w:tc>
          <w:tcPr>
            <w:cnfStyle w:val="001000000000" w:firstRow="0" w:lastRow="0" w:firstColumn="1" w:lastColumn="0" w:oddVBand="0" w:evenVBand="0" w:oddHBand="0" w:evenHBand="0" w:firstRowFirstColumn="0" w:firstRowLastColumn="0" w:lastRowFirstColumn="0" w:lastRowLastColumn="0"/>
            <w:tcW w:w="1864" w:type="dxa"/>
            <w:vMerge/>
            <w:tcBorders>
              <w:top w:val="single" w:sz="8" w:space="0" w:color="AB054C"/>
              <w:bottom w:val="single" w:sz="12" w:space="0" w:color="AB054C"/>
            </w:tcBorders>
          </w:tcPr>
          <w:p w14:paraId="07542D4A" w14:textId="77777777" w:rsidR="000A1ADD" w:rsidRPr="00341581" w:rsidRDefault="000A1ADD" w:rsidP="000A1ADD">
            <w:pPr>
              <w:spacing w:after="120"/>
              <w:rPr>
                <w:rFonts w:eastAsia="Calibri"/>
              </w:rPr>
            </w:pPr>
          </w:p>
        </w:tc>
        <w:tc>
          <w:tcPr>
            <w:tcW w:w="4120" w:type="dxa"/>
            <w:tcBorders>
              <w:top w:val="single" w:sz="8" w:space="0" w:color="AB054C"/>
              <w:bottom w:val="single" w:sz="12" w:space="0" w:color="AB054C"/>
            </w:tcBorders>
          </w:tcPr>
          <w:p w14:paraId="435A1652"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Operating environment</w:t>
            </w:r>
          </w:p>
        </w:tc>
        <w:tc>
          <w:tcPr>
            <w:tcW w:w="2835" w:type="dxa"/>
            <w:tcBorders>
              <w:top w:val="single" w:sz="8" w:space="0" w:color="AB054C"/>
              <w:bottom w:val="single" w:sz="12" w:space="0" w:color="AB054C"/>
            </w:tcBorders>
          </w:tcPr>
          <w:p w14:paraId="72172898" w14:textId="446A909D"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10</w:t>
            </w:r>
            <w:r w:rsidRPr="00341581">
              <w:rPr>
                <w:rFonts w:eastAsia="Arial"/>
                <w:sz w:val="18"/>
                <w:szCs w:val="18"/>
              </w:rPr>
              <w:t>.3</w:t>
            </w:r>
          </w:p>
        </w:tc>
        <w:tc>
          <w:tcPr>
            <w:tcW w:w="1418" w:type="dxa"/>
            <w:tcBorders>
              <w:top w:val="single" w:sz="8" w:space="0" w:color="AB054C"/>
              <w:bottom w:val="single" w:sz="12" w:space="0" w:color="AB054C"/>
            </w:tcBorders>
            <w:shd w:val="clear" w:color="auto" w:fill="auto"/>
          </w:tcPr>
          <w:p w14:paraId="7D7D4321" w14:textId="2F11D920" w:rsidR="000A1ADD" w:rsidRPr="008F02C1" w:rsidRDefault="0029227C"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14</w:t>
            </w:r>
            <w:r w:rsidR="00CB2DF5" w:rsidRPr="008F02C1">
              <w:rPr>
                <w:rFonts w:eastAsia="Arial"/>
                <w:sz w:val="18"/>
                <w:szCs w:val="18"/>
              </w:rPr>
              <w:t>-16</w:t>
            </w:r>
          </w:p>
        </w:tc>
      </w:tr>
      <w:tr w:rsidR="000A1ADD" w:rsidRPr="00341581" w14:paraId="066F8ABE" w14:textId="77777777" w:rsidTr="008F02C1">
        <w:trPr>
          <w:trHeight w:hRule="exact" w:val="463"/>
        </w:trPr>
        <w:tc>
          <w:tcPr>
            <w:cnfStyle w:val="001000000000" w:firstRow="0" w:lastRow="0" w:firstColumn="1" w:lastColumn="0" w:oddVBand="0" w:evenVBand="0" w:oddHBand="0" w:evenHBand="0" w:firstRowFirstColumn="0" w:firstRowLastColumn="0" w:lastRowFirstColumn="0" w:lastRowLastColumn="0"/>
            <w:tcW w:w="1864" w:type="dxa"/>
            <w:vMerge w:val="restart"/>
            <w:tcBorders>
              <w:top w:val="single" w:sz="12" w:space="0" w:color="AB054C"/>
            </w:tcBorders>
          </w:tcPr>
          <w:p w14:paraId="1955AE8D" w14:textId="77777777" w:rsidR="000A1ADD" w:rsidRPr="003D7813" w:rsidRDefault="000A1ADD" w:rsidP="000A1ADD">
            <w:pPr>
              <w:spacing w:after="120"/>
              <w:ind w:left="143"/>
              <w:rPr>
                <w:b w:val="0"/>
                <w:sz w:val="18"/>
                <w:szCs w:val="18"/>
              </w:rPr>
            </w:pPr>
            <w:r w:rsidRPr="003D7813">
              <w:rPr>
                <w:sz w:val="18"/>
                <w:szCs w:val="18"/>
              </w:rPr>
              <w:t>Non-financial performance</w:t>
            </w:r>
          </w:p>
        </w:tc>
        <w:tc>
          <w:tcPr>
            <w:tcW w:w="4120" w:type="dxa"/>
            <w:tcBorders>
              <w:top w:val="single" w:sz="12" w:space="0" w:color="AB054C"/>
              <w:bottom w:val="single" w:sz="8" w:space="0" w:color="AB054C"/>
            </w:tcBorders>
          </w:tcPr>
          <w:p w14:paraId="07161139" w14:textId="77777777" w:rsidR="000A1ADD" w:rsidRPr="003D7813"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472174">
              <w:rPr>
                <w:rFonts w:eastAsia="Calibri"/>
                <w:sz w:val="18"/>
                <w:szCs w:val="22"/>
              </w:rPr>
              <w:t>Government’s objectives for the community</w:t>
            </w:r>
          </w:p>
        </w:tc>
        <w:tc>
          <w:tcPr>
            <w:tcW w:w="2835" w:type="dxa"/>
            <w:tcBorders>
              <w:top w:val="single" w:sz="12" w:space="0" w:color="AB054C"/>
              <w:bottom w:val="single" w:sz="8" w:space="0" w:color="AB054C"/>
            </w:tcBorders>
          </w:tcPr>
          <w:p w14:paraId="749F5B72" w14:textId="31F96F0A" w:rsidR="000A1ADD" w:rsidRPr="003D7813" w:rsidRDefault="000A1ADD" w:rsidP="00CB2DF5">
            <w:pPr>
              <w:pStyle w:val="BodyText"/>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D7813">
              <w:rPr>
                <w:rFonts w:eastAsia="Arial"/>
                <w:sz w:val="18"/>
                <w:szCs w:val="18"/>
              </w:rPr>
              <w:t>ARRs – section</w:t>
            </w:r>
            <w:r w:rsidRPr="003D7813">
              <w:rPr>
                <w:rFonts w:eastAsia="Arial"/>
                <w:spacing w:val="-7"/>
                <w:sz w:val="18"/>
                <w:szCs w:val="18"/>
              </w:rPr>
              <w:t xml:space="preserve"> </w:t>
            </w:r>
            <w:r w:rsidRPr="003D7813">
              <w:rPr>
                <w:rFonts w:eastAsia="Arial"/>
                <w:sz w:val="18"/>
                <w:szCs w:val="18"/>
              </w:rPr>
              <w:t>1</w:t>
            </w:r>
            <w:r w:rsidR="00CB2DF5">
              <w:rPr>
                <w:rFonts w:eastAsia="Arial"/>
                <w:sz w:val="18"/>
                <w:szCs w:val="18"/>
              </w:rPr>
              <w:t>1</w:t>
            </w:r>
            <w:r w:rsidRPr="003D7813">
              <w:rPr>
                <w:rFonts w:eastAsia="Arial"/>
                <w:sz w:val="18"/>
                <w:szCs w:val="18"/>
              </w:rPr>
              <w:t>.1</w:t>
            </w:r>
          </w:p>
        </w:tc>
        <w:tc>
          <w:tcPr>
            <w:tcW w:w="1418" w:type="dxa"/>
            <w:tcBorders>
              <w:top w:val="single" w:sz="12" w:space="0" w:color="AB054C"/>
              <w:bottom w:val="single" w:sz="8" w:space="0" w:color="AB054C"/>
            </w:tcBorders>
            <w:shd w:val="clear" w:color="auto" w:fill="auto"/>
          </w:tcPr>
          <w:p w14:paraId="208416E8" w14:textId="384E9D3D" w:rsidR="000A1ADD" w:rsidRPr="008F02C1" w:rsidRDefault="00CB2DF5" w:rsidP="000A1ADD">
            <w:pPr>
              <w:widowControl w:val="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13</w:t>
            </w:r>
          </w:p>
        </w:tc>
      </w:tr>
      <w:tr w:rsidR="000A1ADD" w:rsidRPr="00341581" w14:paraId="2AE38695" w14:textId="77777777" w:rsidTr="008F02C1">
        <w:trPr>
          <w:trHeight w:hRule="exact" w:val="636"/>
        </w:trPr>
        <w:tc>
          <w:tcPr>
            <w:cnfStyle w:val="001000000000" w:firstRow="0" w:lastRow="0" w:firstColumn="1" w:lastColumn="0" w:oddVBand="0" w:evenVBand="0" w:oddHBand="0" w:evenHBand="0" w:firstRowFirstColumn="0" w:firstRowLastColumn="0" w:lastRowFirstColumn="0" w:lastRowLastColumn="0"/>
            <w:tcW w:w="1864" w:type="dxa"/>
            <w:vMerge/>
          </w:tcPr>
          <w:p w14:paraId="002A40F1"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700A0D94"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Other</w:t>
            </w:r>
            <w:r w:rsidRPr="00341581">
              <w:rPr>
                <w:rFonts w:eastAsia="Calibri"/>
                <w:spacing w:val="-7"/>
                <w:sz w:val="18"/>
                <w:szCs w:val="22"/>
              </w:rPr>
              <w:t xml:space="preserve"> </w:t>
            </w:r>
            <w:r w:rsidRPr="00341581">
              <w:rPr>
                <w:rFonts w:eastAsia="Calibri"/>
                <w:sz w:val="18"/>
                <w:szCs w:val="22"/>
              </w:rPr>
              <w:t>whole-of-government plans/specific</w:t>
            </w:r>
            <w:r w:rsidRPr="00341581">
              <w:rPr>
                <w:rFonts w:eastAsia="Calibri"/>
                <w:spacing w:val="-7"/>
                <w:sz w:val="18"/>
                <w:szCs w:val="22"/>
              </w:rPr>
              <w:t xml:space="preserve"> </w:t>
            </w:r>
            <w:r w:rsidRPr="00341581">
              <w:rPr>
                <w:rFonts w:eastAsia="Calibri"/>
                <w:sz w:val="18"/>
                <w:szCs w:val="22"/>
              </w:rPr>
              <w:t>initiatives</w:t>
            </w:r>
          </w:p>
        </w:tc>
        <w:tc>
          <w:tcPr>
            <w:tcW w:w="2835" w:type="dxa"/>
            <w:tcBorders>
              <w:top w:val="single" w:sz="8" w:space="0" w:color="AB054C"/>
              <w:bottom w:val="single" w:sz="8" w:space="0" w:color="AB054C"/>
            </w:tcBorders>
          </w:tcPr>
          <w:p w14:paraId="4CB7D12A" w14:textId="435F6643"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11</w:t>
            </w:r>
            <w:r w:rsidRPr="00341581">
              <w:rPr>
                <w:rFonts w:eastAsia="Arial"/>
                <w:sz w:val="18"/>
                <w:szCs w:val="18"/>
              </w:rPr>
              <w:t>.2</w:t>
            </w:r>
          </w:p>
        </w:tc>
        <w:tc>
          <w:tcPr>
            <w:tcW w:w="1418" w:type="dxa"/>
            <w:tcBorders>
              <w:top w:val="single" w:sz="8" w:space="0" w:color="AB054C"/>
              <w:bottom w:val="single" w:sz="8" w:space="0" w:color="AB054C"/>
            </w:tcBorders>
            <w:shd w:val="clear" w:color="auto" w:fill="auto"/>
          </w:tcPr>
          <w:p w14:paraId="42E01DC9" w14:textId="2A761D70" w:rsidR="000A1ADD" w:rsidRPr="008F02C1" w:rsidRDefault="008F02C1"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21-29</w:t>
            </w:r>
          </w:p>
        </w:tc>
      </w:tr>
      <w:tr w:rsidR="000A1ADD" w:rsidRPr="00341581" w14:paraId="160B34C9" w14:textId="77777777" w:rsidTr="008F02C1">
        <w:trPr>
          <w:trHeight w:hRule="exact" w:val="636"/>
        </w:trPr>
        <w:tc>
          <w:tcPr>
            <w:cnfStyle w:val="001000000000" w:firstRow="0" w:lastRow="0" w:firstColumn="1" w:lastColumn="0" w:oddVBand="0" w:evenVBand="0" w:oddHBand="0" w:evenHBand="0" w:firstRowFirstColumn="0" w:firstRowLastColumn="0" w:lastRowFirstColumn="0" w:lastRowLastColumn="0"/>
            <w:tcW w:w="1864" w:type="dxa"/>
            <w:vMerge/>
          </w:tcPr>
          <w:p w14:paraId="75AEBE71"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4BCCFDB8"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Agency objectives</w:t>
            </w:r>
            <w:r w:rsidRPr="00341581">
              <w:rPr>
                <w:rFonts w:eastAsia="Calibri"/>
                <w:spacing w:val="-6"/>
                <w:sz w:val="18"/>
                <w:szCs w:val="22"/>
              </w:rPr>
              <w:t xml:space="preserve"> </w:t>
            </w:r>
            <w:r w:rsidRPr="00341581">
              <w:rPr>
                <w:rFonts w:eastAsia="Calibri"/>
                <w:sz w:val="18"/>
                <w:szCs w:val="22"/>
              </w:rPr>
              <w:t>and performance</w:t>
            </w:r>
            <w:r w:rsidRPr="00341581">
              <w:rPr>
                <w:rFonts w:eastAsia="Calibri"/>
                <w:spacing w:val="-6"/>
                <w:sz w:val="18"/>
                <w:szCs w:val="22"/>
              </w:rPr>
              <w:t xml:space="preserve"> </w:t>
            </w:r>
            <w:r w:rsidRPr="00341581">
              <w:rPr>
                <w:rFonts w:eastAsia="Calibri"/>
                <w:sz w:val="18"/>
                <w:szCs w:val="22"/>
              </w:rPr>
              <w:t>indicators</w:t>
            </w:r>
          </w:p>
        </w:tc>
        <w:tc>
          <w:tcPr>
            <w:tcW w:w="2835" w:type="dxa"/>
            <w:tcBorders>
              <w:top w:val="single" w:sz="8" w:space="0" w:color="AB054C"/>
              <w:bottom w:val="single" w:sz="8" w:space="0" w:color="AB054C"/>
            </w:tcBorders>
          </w:tcPr>
          <w:p w14:paraId="122E61AD" w14:textId="45384E7B"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11</w:t>
            </w:r>
            <w:r w:rsidRPr="00341581">
              <w:rPr>
                <w:rFonts w:eastAsia="Arial"/>
                <w:sz w:val="18"/>
                <w:szCs w:val="18"/>
              </w:rPr>
              <w:t>.3</w:t>
            </w:r>
          </w:p>
        </w:tc>
        <w:tc>
          <w:tcPr>
            <w:tcW w:w="1418" w:type="dxa"/>
            <w:tcBorders>
              <w:top w:val="single" w:sz="8" w:space="0" w:color="AB054C"/>
              <w:bottom w:val="single" w:sz="8" w:space="0" w:color="AB054C"/>
            </w:tcBorders>
            <w:shd w:val="clear" w:color="auto" w:fill="auto"/>
          </w:tcPr>
          <w:p w14:paraId="1865D78F" w14:textId="0314A566" w:rsidR="000A1ADD" w:rsidRPr="008F02C1" w:rsidRDefault="008F02C1"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21-29</w:t>
            </w:r>
          </w:p>
        </w:tc>
      </w:tr>
      <w:tr w:rsidR="000A1ADD" w:rsidRPr="00341581" w14:paraId="6C7A4975" w14:textId="77777777" w:rsidTr="008F02C1">
        <w:trPr>
          <w:trHeight w:hRule="exact" w:val="524"/>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AB054C"/>
              <w:right w:val="nil"/>
            </w:tcBorders>
          </w:tcPr>
          <w:p w14:paraId="46F4C076" w14:textId="77777777" w:rsidR="000A1ADD" w:rsidRPr="00341581" w:rsidRDefault="000A1ADD" w:rsidP="000A1ADD">
            <w:pPr>
              <w:spacing w:after="120"/>
              <w:rPr>
                <w:rFonts w:eastAsia="Calibri"/>
              </w:rPr>
            </w:pPr>
          </w:p>
        </w:tc>
        <w:tc>
          <w:tcPr>
            <w:tcW w:w="4120" w:type="dxa"/>
            <w:tcBorders>
              <w:top w:val="single" w:sz="8" w:space="0" w:color="AB054C"/>
              <w:left w:val="nil"/>
              <w:bottom w:val="single" w:sz="12" w:space="0" w:color="AB054C"/>
              <w:right w:val="nil"/>
            </w:tcBorders>
          </w:tcPr>
          <w:p w14:paraId="3688469C"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Agency service areas</w:t>
            </w:r>
            <w:r w:rsidRPr="00341581">
              <w:rPr>
                <w:rFonts w:eastAsia="Calibri"/>
                <w:spacing w:val="-8"/>
                <w:sz w:val="18"/>
                <w:szCs w:val="22"/>
              </w:rPr>
              <w:t xml:space="preserve"> </w:t>
            </w:r>
            <w:r w:rsidRPr="00341581">
              <w:rPr>
                <w:rFonts w:eastAsia="Calibri"/>
                <w:sz w:val="18"/>
                <w:szCs w:val="22"/>
              </w:rPr>
              <w:t>and service</w:t>
            </w:r>
            <w:r w:rsidRPr="00341581">
              <w:rPr>
                <w:rFonts w:eastAsia="Calibri"/>
                <w:spacing w:val="-3"/>
                <w:sz w:val="18"/>
                <w:szCs w:val="22"/>
              </w:rPr>
              <w:t xml:space="preserve"> </w:t>
            </w:r>
            <w:r w:rsidRPr="00341581">
              <w:rPr>
                <w:rFonts w:eastAsia="Calibri"/>
                <w:sz w:val="18"/>
                <w:szCs w:val="22"/>
              </w:rPr>
              <w:t>standards</w:t>
            </w:r>
          </w:p>
        </w:tc>
        <w:tc>
          <w:tcPr>
            <w:tcW w:w="2835" w:type="dxa"/>
            <w:tcBorders>
              <w:top w:val="single" w:sz="8" w:space="0" w:color="AB054C"/>
              <w:left w:val="nil"/>
              <w:bottom w:val="single" w:sz="12" w:space="0" w:color="AB054C"/>
              <w:right w:val="nil"/>
            </w:tcBorders>
          </w:tcPr>
          <w:p w14:paraId="25099D0D" w14:textId="353BC066"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00CB2DF5">
              <w:rPr>
                <w:rFonts w:eastAsia="Arial"/>
                <w:sz w:val="18"/>
                <w:szCs w:val="18"/>
              </w:rPr>
              <w:t>11</w:t>
            </w:r>
            <w:r w:rsidRPr="00341581">
              <w:rPr>
                <w:rFonts w:eastAsia="Arial"/>
                <w:sz w:val="18"/>
                <w:szCs w:val="18"/>
              </w:rPr>
              <w:t>.4</w:t>
            </w:r>
          </w:p>
        </w:tc>
        <w:tc>
          <w:tcPr>
            <w:tcW w:w="1418" w:type="dxa"/>
            <w:tcBorders>
              <w:top w:val="single" w:sz="8" w:space="0" w:color="AB054C"/>
              <w:left w:val="nil"/>
              <w:bottom w:val="single" w:sz="12" w:space="0" w:color="AB054C"/>
              <w:right w:val="nil"/>
            </w:tcBorders>
            <w:shd w:val="clear" w:color="auto" w:fill="auto"/>
          </w:tcPr>
          <w:p w14:paraId="7CDAAF0C" w14:textId="40B1EC0D"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20</w:t>
            </w:r>
          </w:p>
        </w:tc>
      </w:tr>
      <w:tr w:rsidR="000A1ADD" w:rsidRPr="00341581" w14:paraId="4229641F" w14:textId="77777777" w:rsidTr="008F02C1">
        <w:trPr>
          <w:trHeight w:hRule="exact" w:val="636"/>
        </w:trPr>
        <w:tc>
          <w:tcPr>
            <w:cnfStyle w:val="001000000000" w:firstRow="0" w:lastRow="0" w:firstColumn="1" w:lastColumn="0" w:oddVBand="0" w:evenVBand="0" w:oddHBand="0" w:evenHBand="0" w:firstRowFirstColumn="0" w:firstRowLastColumn="0" w:lastRowFirstColumn="0" w:lastRowLastColumn="0"/>
            <w:tcW w:w="1864" w:type="dxa"/>
            <w:tcBorders>
              <w:top w:val="single" w:sz="12" w:space="0" w:color="AB054C"/>
              <w:bottom w:val="single" w:sz="12" w:space="0" w:color="AB054C"/>
            </w:tcBorders>
          </w:tcPr>
          <w:p w14:paraId="2A60EF23" w14:textId="77777777" w:rsidR="000A1ADD" w:rsidRPr="00341581" w:rsidRDefault="000A1ADD" w:rsidP="000A1ADD">
            <w:pPr>
              <w:widowControl w:val="0"/>
              <w:spacing w:after="120"/>
              <w:ind w:left="103"/>
              <w:rPr>
                <w:rFonts w:eastAsia="Arial"/>
                <w:sz w:val="18"/>
                <w:szCs w:val="18"/>
              </w:rPr>
            </w:pPr>
            <w:r w:rsidRPr="00341581">
              <w:rPr>
                <w:rFonts w:eastAsia="Calibri"/>
                <w:sz w:val="18"/>
                <w:szCs w:val="22"/>
              </w:rPr>
              <w:t>Financial performance</w:t>
            </w:r>
          </w:p>
        </w:tc>
        <w:tc>
          <w:tcPr>
            <w:tcW w:w="4120" w:type="dxa"/>
            <w:tcBorders>
              <w:top w:val="single" w:sz="12" w:space="0" w:color="AB054C"/>
              <w:bottom w:val="single" w:sz="12" w:space="0" w:color="AB054C"/>
            </w:tcBorders>
          </w:tcPr>
          <w:p w14:paraId="63C2DF44"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Calibri"/>
                <w:sz w:val="18"/>
                <w:szCs w:val="22"/>
              </w:rPr>
              <w:t>Summary of</w:t>
            </w:r>
            <w:r w:rsidRPr="00341581">
              <w:rPr>
                <w:rFonts w:eastAsia="Calibri"/>
                <w:spacing w:val="-7"/>
                <w:sz w:val="18"/>
                <w:szCs w:val="22"/>
              </w:rPr>
              <w:t xml:space="preserve"> </w:t>
            </w:r>
            <w:r w:rsidRPr="00341581">
              <w:rPr>
                <w:rFonts w:eastAsia="Calibri"/>
                <w:sz w:val="18"/>
                <w:szCs w:val="22"/>
              </w:rPr>
              <w:t>financial performance</w:t>
            </w:r>
          </w:p>
        </w:tc>
        <w:tc>
          <w:tcPr>
            <w:tcW w:w="2835" w:type="dxa"/>
            <w:tcBorders>
              <w:top w:val="single" w:sz="12" w:space="0" w:color="AB054C"/>
              <w:bottom w:val="single" w:sz="12" w:space="0" w:color="AB054C"/>
            </w:tcBorders>
            <w:shd w:val="clear" w:color="auto" w:fill="auto"/>
          </w:tcPr>
          <w:p w14:paraId="45FC0D78" w14:textId="480974CA" w:rsidR="000A1ADD" w:rsidRPr="00341581" w:rsidRDefault="000A1ADD" w:rsidP="00CB2DF5">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341581">
              <w:rPr>
                <w:rFonts w:eastAsia="Arial"/>
                <w:sz w:val="18"/>
                <w:szCs w:val="18"/>
              </w:rPr>
              <w:t>ARRs – section</w:t>
            </w:r>
            <w:r w:rsidRPr="00341581">
              <w:rPr>
                <w:rFonts w:eastAsia="Arial"/>
                <w:spacing w:val="-7"/>
                <w:sz w:val="18"/>
                <w:szCs w:val="18"/>
              </w:rPr>
              <w:t xml:space="preserve"> </w:t>
            </w:r>
            <w:r w:rsidRPr="00341581">
              <w:rPr>
                <w:rFonts w:eastAsia="Arial"/>
                <w:sz w:val="18"/>
                <w:szCs w:val="18"/>
              </w:rPr>
              <w:t>1</w:t>
            </w:r>
            <w:r w:rsidR="00CB2DF5">
              <w:rPr>
                <w:rFonts w:eastAsia="Arial"/>
                <w:sz w:val="18"/>
                <w:szCs w:val="18"/>
              </w:rPr>
              <w:t>2</w:t>
            </w:r>
            <w:r w:rsidRPr="00341581">
              <w:rPr>
                <w:rFonts w:eastAsia="Arial"/>
                <w:sz w:val="18"/>
                <w:szCs w:val="18"/>
              </w:rPr>
              <w:t>.1</w:t>
            </w:r>
          </w:p>
        </w:tc>
        <w:tc>
          <w:tcPr>
            <w:tcW w:w="1418" w:type="dxa"/>
            <w:tcBorders>
              <w:top w:val="single" w:sz="12" w:space="0" w:color="AB054C"/>
              <w:bottom w:val="single" w:sz="12" w:space="0" w:color="AB054C"/>
            </w:tcBorders>
            <w:shd w:val="clear" w:color="auto" w:fill="auto"/>
          </w:tcPr>
          <w:p w14:paraId="719D7F4B" w14:textId="04B9796E"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18-19</w:t>
            </w:r>
          </w:p>
        </w:tc>
      </w:tr>
      <w:tr w:rsidR="000A1ADD" w:rsidRPr="00341581" w14:paraId="1D3B81E3" w14:textId="77777777" w:rsidTr="008F02C1">
        <w:trPr>
          <w:trHeight w:hRule="exact" w:val="523"/>
        </w:trPr>
        <w:tc>
          <w:tcPr>
            <w:cnfStyle w:val="001000000000" w:firstRow="0" w:lastRow="0" w:firstColumn="1" w:lastColumn="0" w:oddVBand="0" w:evenVBand="0" w:oddHBand="0" w:evenHBand="0" w:firstRowFirstColumn="0" w:firstRowLastColumn="0" w:lastRowFirstColumn="0" w:lastRowLastColumn="0"/>
            <w:tcW w:w="1864" w:type="dxa"/>
            <w:vMerge w:val="restart"/>
            <w:tcBorders>
              <w:top w:val="single" w:sz="12" w:space="0" w:color="AB054C"/>
            </w:tcBorders>
          </w:tcPr>
          <w:p w14:paraId="48F2C71D" w14:textId="77777777" w:rsidR="000A1ADD" w:rsidRPr="00341581" w:rsidRDefault="000A1ADD" w:rsidP="000A1ADD">
            <w:pPr>
              <w:widowControl w:val="0"/>
              <w:spacing w:after="120"/>
              <w:ind w:left="103"/>
              <w:rPr>
                <w:rFonts w:eastAsia="Calibri"/>
                <w:sz w:val="18"/>
                <w:szCs w:val="22"/>
              </w:rPr>
            </w:pPr>
            <w:r>
              <w:rPr>
                <w:rFonts w:eastAsia="Calibri"/>
                <w:sz w:val="18"/>
                <w:szCs w:val="22"/>
              </w:rPr>
              <w:t>Governance – management and structure</w:t>
            </w:r>
          </w:p>
        </w:tc>
        <w:tc>
          <w:tcPr>
            <w:tcW w:w="4120" w:type="dxa"/>
            <w:tcBorders>
              <w:top w:val="single" w:sz="12" w:space="0" w:color="AB054C"/>
              <w:bottom w:val="single" w:sz="8" w:space="0" w:color="8A002E"/>
            </w:tcBorders>
          </w:tcPr>
          <w:p w14:paraId="24CD72D0"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Organisational structure</w:t>
            </w:r>
          </w:p>
        </w:tc>
        <w:tc>
          <w:tcPr>
            <w:tcW w:w="2835" w:type="dxa"/>
            <w:tcBorders>
              <w:top w:val="single" w:sz="12" w:space="0" w:color="AB054C"/>
              <w:bottom w:val="single" w:sz="8" w:space="0" w:color="8A002E"/>
            </w:tcBorders>
          </w:tcPr>
          <w:p w14:paraId="78BA4FC7" w14:textId="759D9C8F" w:rsidR="000A1ADD" w:rsidRPr="00341581" w:rsidRDefault="00CB2DF5"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13</w:t>
            </w:r>
            <w:r w:rsidR="000A1ADD">
              <w:rPr>
                <w:rFonts w:eastAsia="Arial"/>
                <w:sz w:val="18"/>
                <w:szCs w:val="18"/>
              </w:rPr>
              <w:t>.1</w:t>
            </w:r>
          </w:p>
        </w:tc>
        <w:tc>
          <w:tcPr>
            <w:tcW w:w="1418" w:type="dxa"/>
            <w:tcBorders>
              <w:top w:val="single" w:sz="12" w:space="0" w:color="AB054C"/>
              <w:bottom w:val="single" w:sz="8" w:space="0" w:color="8A002E"/>
            </w:tcBorders>
            <w:shd w:val="clear" w:color="auto" w:fill="auto"/>
          </w:tcPr>
          <w:p w14:paraId="1E938AAB" w14:textId="5A74281B"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17</w:t>
            </w:r>
          </w:p>
        </w:tc>
      </w:tr>
      <w:tr w:rsidR="000A1ADD" w:rsidRPr="00341581" w14:paraId="40450C4E" w14:textId="77777777" w:rsidTr="008F02C1">
        <w:trPr>
          <w:trHeight w:hRule="exact" w:val="526"/>
        </w:trPr>
        <w:tc>
          <w:tcPr>
            <w:cnfStyle w:val="001000000000" w:firstRow="0" w:lastRow="0" w:firstColumn="1" w:lastColumn="0" w:oddVBand="0" w:evenVBand="0" w:oddHBand="0" w:evenHBand="0" w:firstRowFirstColumn="0" w:firstRowLastColumn="0" w:lastRowFirstColumn="0" w:lastRowLastColumn="0"/>
            <w:tcW w:w="1864" w:type="dxa"/>
            <w:vMerge/>
          </w:tcPr>
          <w:p w14:paraId="0EF2AB0C" w14:textId="77777777" w:rsidR="000A1ADD" w:rsidRDefault="000A1ADD" w:rsidP="000A1ADD">
            <w:pPr>
              <w:widowControl w:val="0"/>
              <w:spacing w:after="120"/>
              <w:ind w:left="103"/>
              <w:rPr>
                <w:rFonts w:eastAsia="Calibri"/>
                <w:sz w:val="18"/>
                <w:szCs w:val="22"/>
              </w:rPr>
            </w:pPr>
          </w:p>
        </w:tc>
        <w:tc>
          <w:tcPr>
            <w:tcW w:w="4120" w:type="dxa"/>
            <w:tcBorders>
              <w:top w:val="single" w:sz="8" w:space="0" w:color="8A002E"/>
              <w:bottom w:val="single" w:sz="8" w:space="0" w:color="8A002E"/>
            </w:tcBorders>
          </w:tcPr>
          <w:p w14:paraId="0E98AD13"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Executive management</w:t>
            </w:r>
          </w:p>
        </w:tc>
        <w:tc>
          <w:tcPr>
            <w:tcW w:w="2835" w:type="dxa"/>
            <w:tcBorders>
              <w:top w:val="single" w:sz="8" w:space="0" w:color="8A002E"/>
              <w:bottom w:val="single" w:sz="8" w:space="0" w:color="8A002E"/>
            </w:tcBorders>
          </w:tcPr>
          <w:p w14:paraId="123470D8" w14:textId="299DD578" w:rsidR="000A1ADD" w:rsidRPr="00341581" w:rsidRDefault="00CB2DF5"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13</w:t>
            </w:r>
            <w:r w:rsidR="000A1ADD">
              <w:rPr>
                <w:rFonts w:eastAsia="Arial"/>
                <w:sz w:val="18"/>
                <w:szCs w:val="18"/>
              </w:rPr>
              <w:t>.2</w:t>
            </w:r>
          </w:p>
        </w:tc>
        <w:tc>
          <w:tcPr>
            <w:tcW w:w="1418" w:type="dxa"/>
            <w:tcBorders>
              <w:top w:val="single" w:sz="8" w:space="0" w:color="8A002E"/>
              <w:bottom w:val="single" w:sz="8" w:space="0" w:color="8A002E"/>
            </w:tcBorders>
            <w:shd w:val="clear" w:color="auto" w:fill="auto"/>
          </w:tcPr>
          <w:p w14:paraId="00D9D821" w14:textId="35338806"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30-33</w:t>
            </w:r>
          </w:p>
        </w:tc>
      </w:tr>
      <w:tr w:rsidR="000A1ADD" w:rsidRPr="00341581" w14:paraId="11FFB5A0" w14:textId="77777777" w:rsidTr="008F02C1">
        <w:trPr>
          <w:trHeight w:hRule="exact" w:val="609"/>
        </w:trPr>
        <w:tc>
          <w:tcPr>
            <w:cnfStyle w:val="001000000000" w:firstRow="0" w:lastRow="0" w:firstColumn="1" w:lastColumn="0" w:oddVBand="0" w:evenVBand="0" w:oddHBand="0" w:evenHBand="0" w:firstRowFirstColumn="0" w:firstRowLastColumn="0" w:lastRowFirstColumn="0" w:lastRowLastColumn="0"/>
            <w:tcW w:w="1864" w:type="dxa"/>
            <w:vMerge/>
          </w:tcPr>
          <w:p w14:paraId="33F5ED85" w14:textId="77777777" w:rsidR="000A1ADD" w:rsidRDefault="000A1ADD" w:rsidP="000A1ADD">
            <w:pPr>
              <w:widowControl w:val="0"/>
              <w:spacing w:after="120"/>
              <w:ind w:left="103"/>
              <w:rPr>
                <w:rFonts w:eastAsia="Calibri"/>
                <w:sz w:val="18"/>
                <w:szCs w:val="22"/>
              </w:rPr>
            </w:pPr>
          </w:p>
        </w:tc>
        <w:tc>
          <w:tcPr>
            <w:tcW w:w="4120" w:type="dxa"/>
            <w:tcBorders>
              <w:top w:val="single" w:sz="8" w:space="0" w:color="8A002E"/>
              <w:bottom w:val="single" w:sz="8" w:space="0" w:color="8A002E"/>
            </w:tcBorders>
          </w:tcPr>
          <w:p w14:paraId="7CA5DCCE"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Government bodies (statutory bodies and other entities)</w:t>
            </w:r>
          </w:p>
        </w:tc>
        <w:tc>
          <w:tcPr>
            <w:tcW w:w="2835" w:type="dxa"/>
            <w:tcBorders>
              <w:top w:val="single" w:sz="8" w:space="0" w:color="8A002E"/>
              <w:bottom w:val="single" w:sz="8" w:space="0" w:color="8A002E"/>
            </w:tcBorders>
          </w:tcPr>
          <w:p w14:paraId="0214D4B5" w14:textId="24505233" w:rsidR="000A1ADD" w:rsidRPr="00341581" w:rsidRDefault="00CB2DF5"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13</w:t>
            </w:r>
            <w:r w:rsidR="000A1ADD">
              <w:rPr>
                <w:rFonts w:eastAsia="Arial"/>
                <w:sz w:val="18"/>
                <w:szCs w:val="18"/>
              </w:rPr>
              <w:t>.3</w:t>
            </w:r>
          </w:p>
        </w:tc>
        <w:tc>
          <w:tcPr>
            <w:tcW w:w="1418" w:type="dxa"/>
            <w:tcBorders>
              <w:top w:val="single" w:sz="8" w:space="0" w:color="8A002E"/>
              <w:bottom w:val="single" w:sz="8" w:space="0" w:color="8A002E"/>
            </w:tcBorders>
            <w:shd w:val="clear" w:color="auto" w:fill="auto"/>
          </w:tcPr>
          <w:p w14:paraId="7430DF9E" w14:textId="14F61D75"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N/A</w:t>
            </w:r>
          </w:p>
        </w:tc>
      </w:tr>
      <w:tr w:rsidR="000A1ADD" w:rsidRPr="00341581" w14:paraId="76C130D0" w14:textId="77777777" w:rsidTr="008F02C1">
        <w:trPr>
          <w:trHeight w:hRule="exact" w:val="725"/>
        </w:trPr>
        <w:tc>
          <w:tcPr>
            <w:cnfStyle w:val="001000000000" w:firstRow="0" w:lastRow="0" w:firstColumn="1" w:lastColumn="0" w:oddVBand="0" w:evenVBand="0" w:oddHBand="0" w:evenHBand="0" w:firstRowFirstColumn="0" w:firstRowLastColumn="0" w:lastRowFirstColumn="0" w:lastRowLastColumn="0"/>
            <w:tcW w:w="1864" w:type="dxa"/>
            <w:vMerge/>
          </w:tcPr>
          <w:p w14:paraId="19E78408" w14:textId="77777777" w:rsidR="000A1ADD" w:rsidRDefault="000A1ADD" w:rsidP="000A1ADD">
            <w:pPr>
              <w:widowControl w:val="0"/>
              <w:spacing w:after="120"/>
              <w:ind w:left="103"/>
              <w:rPr>
                <w:rFonts w:eastAsia="Calibri"/>
                <w:sz w:val="18"/>
                <w:szCs w:val="22"/>
              </w:rPr>
            </w:pPr>
          </w:p>
        </w:tc>
        <w:tc>
          <w:tcPr>
            <w:tcW w:w="4120" w:type="dxa"/>
            <w:tcBorders>
              <w:top w:val="single" w:sz="8" w:space="0" w:color="8A002E"/>
              <w:bottom w:val="single" w:sz="8" w:space="0" w:color="8A002E"/>
            </w:tcBorders>
          </w:tcPr>
          <w:p w14:paraId="61C0F6A1" w14:textId="77777777" w:rsidR="000A1ADD" w:rsidRPr="00652B39"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Calibri"/>
                <w:i/>
                <w:sz w:val="18"/>
                <w:szCs w:val="22"/>
              </w:rPr>
            </w:pPr>
            <w:r>
              <w:rPr>
                <w:rFonts w:eastAsia="Calibri"/>
                <w:i/>
                <w:sz w:val="18"/>
                <w:szCs w:val="22"/>
              </w:rPr>
              <w:t>Public Sector Ethics Act </w:t>
            </w:r>
            <w:r w:rsidRPr="00652B39">
              <w:rPr>
                <w:rFonts w:eastAsia="Calibri"/>
                <w:i/>
                <w:sz w:val="18"/>
                <w:szCs w:val="22"/>
              </w:rPr>
              <w:t>1994</w:t>
            </w:r>
          </w:p>
        </w:tc>
        <w:tc>
          <w:tcPr>
            <w:tcW w:w="2835" w:type="dxa"/>
            <w:tcBorders>
              <w:top w:val="single" w:sz="8" w:space="0" w:color="8A002E"/>
              <w:bottom w:val="single" w:sz="8" w:space="0" w:color="8A002E"/>
            </w:tcBorders>
          </w:tcPr>
          <w:p w14:paraId="42C26285" w14:textId="77777777" w:rsidR="000A1ADD" w:rsidRPr="00652B39"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652B39">
              <w:rPr>
                <w:rFonts w:eastAsia="Arial"/>
                <w:i/>
                <w:sz w:val="18"/>
                <w:szCs w:val="18"/>
              </w:rPr>
              <w:t>Public Sector Ethics Act 1994</w:t>
            </w:r>
          </w:p>
          <w:p w14:paraId="364A4E9A" w14:textId="78570147" w:rsidR="000A1ADD" w:rsidRPr="00341581" w:rsidRDefault="000A1ADD" w:rsidP="00CB2DF5">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w:t>
            </w:r>
            <w:r w:rsidR="00CB2DF5">
              <w:rPr>
                <w:rFonts w:eastAsia="Arial"/>
                <w:sz w:val="18"/>
                <w:szCs w:val="18"/>
              </w:rPr>
              <w:t>3</w:t>
            </w:r>
            <w:r>
              <w:rPr>
                <w:rFonts w:eastAsia="Arial"/>
                <w:sz w:val="18"/>
                <w:szCs w:val="18"/>
              </w:rPr>
              <w:t>.4</w:t>
            </w:r>
          </w:p>
        </w:tc>
        <w:tc>
          <w:tcPr>
            <w:tcW w:w="1418" w:type="dxa"/>
            <w:tcBorders>
              <w:top w:val="single" w:sz="8" w:space="0" w:color="8A002E"/>
              <w:bottom w:val="single" w:sz="8" w:space="0" w:color="8A002E"/>
            </w:tcBorders>
            <w:shd w:val="clear" w:color="auto" w:fill="auto"/>
          </w:tcPr>
          <w:p w14:paraId="5BB62BF5" w14:textId="40D4CBB9"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34</w:t>
            </w:r>
          </w:p>
        </w:tc>
      </w:tr>
      <w:tr w:rsidR="000A1ADD" w:rsidRPr="00341581" w14:paraId="28EBFFDA" w14:textId="77777777" w:rsidTr="008F02C1">
        <w:trPr>
          <w:trHeight w:hRule="exact" w:val="638"/>
        </w:trPr>
        <w:tc>
          <w:tcPr>
            <w:cnfStyle w:val="001000000000" w:firstRow="0" w:lastRow="0" w:firstColumn="1" w:lastColumn="0" w:oddVBand="0" w:evenVBand="0" w:oddHBand="0" w:evenHBand="0" w:firstRowFirstColumn="0" w:firstRowLastColumn="0" w:lastRowFirstColumn="0" w:lastRowLastColumn="0"/>
            <w:tcW w:w="1864" w:type="dxa"/>
            <w:vMerge/>
            <w:tcBorders>
              <w:bottom w:val="single" w:sz="12" w:space="0" w:color="8A002E"/>
            </w:tcBorders>
          </w:tcPr>
          <w:p w14:paraId="6C7AA175" w14:textId="77777777" w:rsidR="000A1ADD" w:rsidRDefault="000A1ADD" w:rsidP="000A1ADD">
            <w:pPr>
              <w:widowControl w:val="0"/>
              <w:spacing w:after="120"/>
              <w:ind w:left="103"/>
              <w:rPr>
                <w:rFonts w:eastAsia="Calibri"/>
                <w:sz w:val="18"/>
                <w:szCs w:val="22"/>
              </w:rPr>
            </w:pPr>
          </w:p>
        </w:tc>
        <w:tc>
          <w:tcPr>
            <w:tcW w:w="4120" w:type="dxa"/>
            <w:tcBorders>
              <w:top w:val="single" w:sz="8" w:space="0" w:color="8A002E"/>
              <w:bottom w:val="single" w:sz="12" w:space="0" w:color="8A002E"/>
            </w:tcBorders>
          </w:tcPr>
          <w:p w14:paraId="3790F61F" w14:textId="77777777" w:rsidR="000A1ADD" w:rsidRPr="00341581" w:rsidRDefault="000A1ADD" w:rsidP="000A1ADD">
            <w:pPr>
              <w:widowControl w:val="0"/>
              <w:numPr>
                <w:ilvl w:val="0"/>
                <w:numId w:val="12"/>
              </w:numPr>
              <w:tabs>
                <w:tab w:val="left" w:pos="356"/>
              </w:tabs>
              <w:spacing w:after="120"/>
              <w:ind w:right="52"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Queensland public service values</w:t>
            </w:r>
          </w:p>
        </w:tc>
        <w:tc>
          <w:tcPr>
            <w:tcW w:w="2835" w:type="dxa"/>
            <w:tcBorders>
              <w:top w:val="single" w:sz="8" w:space="0" w:color="8A002E"/>
              <w:bottom w:val="single" w:sz="12" w:space="0" w:color="8A002E"/>
            </w:tcBorders>
            <w:shd w:val="clear" w:color="auto" w:fill="auto"/>
          </w:tcPr>
          <w:p w14:paraId="4F3EDD66" w14:textId="6919CA36" w:rsidR="000A1ADD" w:rsidRPr="00341581" w:rsidRDefault="00CB2DF5"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13</w:t>
            </w:r>
            <w:r w:rsidR="000A1ADD">
              <w:rPr>
                <w:rFonts w:eastAsia="Arial"/>
                <w:sz w:val="18"/>
                <w:szCs w:val="18"/>
              </w:rPr>
              <w:t>.5</w:t>
            </w:r>
          </w:p>
        </w:tc>
        <w:tc>
          <w:tcPr>
            <w:tcW w:w="1418" w:type="dxa"/>
            <w:tcBorders>
              <w:top w:val="single" w:sz="8" w:space="0" w:color="8A002E"/>
              <w:bottom w:val="single" w:sz="12" w:space="0" w:color="8A002E"/>
            </w:tcBorders>
            <w:shd w:val="clear" w:color="auto" w:fill="auto"/>
          </w:tcPr>
          <w:p w14:paraId="39C07F9A" w14:textId="3E985737" w:rsidR="000A1ADD" w:rsidRPr="008F02C1" w:rsidRDefault="00A944EB" w:rsidP="000A1ADD">
            <w:pPr>
              <w:widowControl w:val="0"/>
              <w:spacing w:after="120"/>
              <w:ind w:left="4" w:right="0"/>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15</w:t>
            </w:r>
          </w:p>
        </w:tc>
      </w:tr>
    </w:tbl>
    <w:p w14:paraId="7686B7B7" w14:textId="5E11FE61" w:rsidR="000A1ADD" w:rsidRPr="000A1ADD" w:rsidRDefault="000A1ADD" w:rsidP="007703EB">
      <w:pPr>
        <w:pStyle w:val="Heading2"/>
      </w:pPr>
      <w:bookmarkStart w:id="267" w:name="_Toc492622974"/>
      <w:r w:rsidRPr="006E1C5C">
        <w:t>Compliance checklis</w:t>
      </w:r>
      <w:bookmarkEnd w:id="257"/>
      <w:bookmarkEnd w:id="258"/>
      <w:bookmarkEnd w:id="259"/>
      <w:bookmarkEnd w:id="260"/>
      <w:bookmarkEnd w:id="261"/>
      <w:r>
        <w:t>t</w:t>
      </w:r>
      <w:bookmarkEnd w:id="267"/>
    </w:p>
    <w:p w14:paraId="460C9CA7" w14:textId="77777777" w:rsidR="00461AF6" w:rsidRDefault="00B8361D" w:rsidP="00461AF6">
      <w:pPr>
        <w:pStyle w:val="Default"/>
        <w:tabs>
          <w:tab w:val="left" w:pos="851"/>
        </w:tabs>
        <w:rPr>
          <w:rFonts w:ascii="Arial Bold" w:eastAsia="Times New Roman" w:hAnsi="Arial Bold"/>
          <w:b/>
          <w:i/>
          <w:color w:val="AB054C"/>
          <w:sz w:val="36"/>
          <w14:ligatures w14:val="standardContextual"/>
        </w:rPr>
      </w:pPr>
      <w:r>
        <w:t xml:space="preserve"> </w:t>
      </w:r>
      <w:r w:rsidR="00461AF6">
        <w:br w:type="page"/>
      </w:r>
    </w:p>
    <w:tbl>
      <w:tblPr>
        <w:tblStyle w:val="FinancialTable"/>
        <w:tblpPr w:leftFromText="180" w:rightFromText="180" w:vertAnchor="text" w:horzAnchor="margin" w:tblpX="-152" w:tblpY="420"/>
        <w:tblW w:w="10227" w:type="dxa"/>
        <w:tblBorders>
          <w:top w:val="single" w:sz="8" w:space="0" w:color="670022" w:themeColor="accent1" w:themeShade="BF"/>
          <w:bottom w:val="single" w:sz="8" w:space="0" w:color="670022" w:themeColor="accent1" w:themeShade="BF"/>
          <w:insideH w:val="single" w:sz="8" w:space="0" w:color="670022" w:themeColor="accent1" w:themeShade="BF"/>
        </w:tblBorders>
        <w:tblLayout w:type="fixed"/>
        <w:tblLook w:val="01E0" w:firstRow="1" w:lastRow="1" w:firstColumn="1" w:lastColumn="1" w:noHBand="0" w:noVBand="0"/>
      </w:tblPr>
      <w:tblGrid>
        <w:gridCol w:w="1854"/>
        <w:gridCol w:w="4120"/>
        <w:gridCol w:w="2835"/>
        <w:gridCol w:w="1418"/>
      </w:tblGrid>
      <w:tr w:rsidR="000A1ADD" w:rsidRPr="00341581" w14:paraId="66E68015" w14:textId="77777777" w:rsidTr="000A1ADD">
        <w:trPr>
          <w:cnfStyle w:val="100000000000" w:firstRow="1" w:lastRow="0" w:firstColumn="0" w:lastColumn="0" w:oddVBand="0" w:evenVBand="0" w:oddHBand="0" w:evenHBand="0" w:firstRowFirstColumn="0" w:firstRowLastColumn="0" w:lastRowFirstColumn="0" w:lastRowLastColumn="0"/>
          <w:trHeight w:hRule="exact" w:val="731"/>
          <w:tblHeader/>
        </w:trPr>
        <w:tc>
          <w:tcPr>
            <w:cnfStyle w:val="001000000000" w:firstRow="0" w:lastRow="0" w:firstColumn="1" w:lastColumn="0" w:oddVBand="0" w:evenVBand="0" w:oddHBand="0" w:evenHBand="0" w:firstRowFirstColumn="0" w:firstRowLastColumn="0" w:lastRowFirstColumn="0" w:lastRowLastColumn="0"/>
            <w:tcW w:w="5974" w:type="dxa"/>
            <w:gridSpan w:val="2"/>
            <w:tcBorders>
              <w:top w:val="single" w:sz="8" w:space="0" w:color="8A002E"/>
              <w:left w:val="single" w:sz="8" w:space="0" w:color="8A002E"/>
              <w:bottom w:val="single" w:sz="8" w:space="0" w:color="8A002E"/>
            </w:tcBorders>
            <w:shd w:val="clear" w:color="auto" w:fill="AB054C"/>
          </w:tcPr>
          <w:p w14:paraId="32ACAF95" w14:textId="77777777" w:rsidR="000A1ADD" w:rsidRPr="00CC416C" w:rsidRDefault="000A1ADD" w:rsidP="000A1ADD">
            <w:pPr>
              <w:widowControl w:val="0"/>
              <w:spacing w:before="0"/>
              <w:rPr>
                <w:rFonts w:eastAsia="Arial"/>
                <w:b/>
                <w:color w:val="FFFFFF" w:themeColor="background1"/>
                <w:sz w:val="24"/>
                <w:szCs w:val="18"/>
              </w:rPr>
            </w:pPr>
            <w:bookmarkStart w:id="268" w:name="_Toc460406700"/>
            <w:bookmarkStart w:id="269" w:name="_Toc460406850"/>
            <w:bookmarkStart w:id="270" w:name="_Toc460406886"/>
            <w:bookmarkStart w:id="271" w:name="_Toc460406965"/>
            <w:bookmarkStart w:id="272" w:name="_Toc460407079"/>
            <w:r w:rsidRPr="00CC416C">
              <w:rPr>
                <w:rFonts w:eastAsia="Calibri"/>
                <w:b/>
                <w:caps w:val="0"/>
                <w:color w:val="FFFFFF" w:themeColor="background1"/>
                <w:sz w:val="24"/>
                <w:szCs w:val="22"/>
              </w:rPr>
              <w:lastRenderedPageBreak/>
              <w:t>Summary of</w:t>
            </w:r>
            <w:r w:rsidRPr="00CC416C">
              <w:rPr>
                <w:rFonts w:eastAsia="Calibri"/>
                <w:b/>
                <w:color w:val="FFFFFF" w:themeColor="background1"/>
                <w:spacing w:val="-9"/>
                <w:sz w:val="24"/>
                <w:szCs w:val="22"/>
              </w:rPr>
              <w:t xml:space="preserve"> </w:t>
            </w:r>
            <w:r w:rsidRPr="00CC416C">
              <w:rPr>
                <w:rFonts w:eastAsia="Calibri"/>
                <w:b/>
                <w:caps w:val="0"/>
                <w:color w:val="FFFFFF" w:themeColor="background1"/>
                <w:sz w:val="24"/>
                <w:szCs w:val="22"/>
              </w:rPr>
              <w:t>requirement</w:t>
            </w:r>
          </w:p>
        </w:tc>
        <w:tc>
          <w:tcPr>
            <w:tcW w:w="2835" w:type="dxa"/>
            <w:tcBorders>
              <w:top w:val="single" w:sz="8" w:space="0" w:color="8A002E"/>
              <w:bottom w:val="single" w:sz="8" w:space="0" w:color="8A002E"/>
            </w:tcBorders>
            <w:shd w:val="clear" w:color="auto" w:fill="AB054C"/>
          </w:tcPr>
          <w:p w14:paraId="25D8B030" w14:textId="77777777" w:rsidR="000A1ADD" w:rsidRPr="00CC416C" w:rsidRDefault="000A1ADD" w:rsidP="000A1ADD">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color w:val="FFFFFF" w:themeColor="background1"/>
                <w:sz w:val="24"/>
                <w:szCs w:val="18"/>
              </w:rPr>
            </w:pPr>
            <w:r w:rsidRPr="00CC416C">
              <w:rPr>
                <w:rFonts w:eastAsia="Calibri"/>
                <w:b/>
                <w:caps w:val="0"/>
                <w:color w:val="FFFFFF" w:themeColor="background1"/>
                <w:sz w:val="24"/>
                <w:szCs w:val="22"/>
              </w:rPr>
              <w:t>Basis for</w:t>
            </w:r>
            <w:r w:rsidRPr="00CC416C">
              <w:rPr>
                <w:rFonts w:eastAsia="Calibri"/>
                <w:b/>
                <w:color w:val="FFFFFF" w:themeColor="background1"/>
                <w:spacing w:val="-7"/>
                <w:sz w:val="24"/>
                <w:szCs w:val="22"/>
              </w:rPr>
              <w:t xml:space="preserve"> </w:t>
            </w:r>
            <w:r w:rsidRPr="00CC416C">
              <w:rPr>
                <w:rFonts w:eastAsia="Calibri"/>
                <w:b/>
                <w:caps w:val="0"/>
                <w:color w:val="FFFFFF" w:themeColor="background1"/>
                <w:sz w:val="24"/>
                <w:szCs w:val="22"/>
              </w:rPr>
              <w:t>requirement</w:t>
            </w:r>
          </w:p>
        </w:tc>
        <w:tc>
          <w:tcPr>
            <w:tcW w:w="1418" w:type="dxa"/>
            <w:tcBorders>
              <w:top w:val="single" w:sz="8" w:space="0" w:color="8A002E"/>
              <w:bottom w:val="single" w:sz="8" w:space="0" w:color="8A002E"/>
              <w:right w:val="single" w:sz="8" w:space="0" w:color="8A002E"/>
            </w:tcBorders>
            <w:shd w:val="clear" w:color="auto" w:fill="AB054C"/>
          </w:tcPr>
          <w:p w14:paraId="04EBD8BD" w14:textId="77777777" w:rsidR="000A1ADD" w:rsidRPr="00CC416C" w:rsidRDefault="000A1ADD" w:rsidP="000A1ADD">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color w:val="FFFFFF" w:themeColor="background1"/>
                <w:sz w:val="24"/>
                <w:szCs w:val="18"/>
              </w:rPr>
            </w:pPr>
            <w:r>
              <w:rPr>
                <w:rFonts w:eastAsia="Calibri"/>
                <w:b/>
                <w:caps w:val="0"/>
                <w:color w:val="FFFFFF" w:themeColor="background1"/>
                <w:sz w:val="24"/>
                <w:szCs w:val="22"/>
              </w:rPr>
              <w:t>P</w:t>
            </w:r>
            <w:r w:rsidRPr="00CC416C">
              <w:rPr>
                <w:rFonts w:eastAsia="Calibri"/>
                <w:b/>
                <w:caps w:val="0"/>
                <w:color w:val="FFFFFF" w:themeColor="background1"/>
                <w:sz w:val="24"/>
                <w:szCs w:val="22"/>
              </w:rPr>
              <w:t>age reference</w:t>
            </w:r>
          </w:p>
        </w:tc>
      </w:tr>
      <w:tr w:rsidR="000A1ADD" w:rsidRPr="00341581" w14:paraId="5E8D3AF9" w14:textId="77777777" w:rsidTr="008F02C1">
        <w:trPr>
          <w:trHeight w:val="680"/>
        </w:trPr>
        <w:tc>
          <w:tcPr>
            <w:cnfStyle w:val="001000000000" w:firstRow="0" w:lastRow="0" w:firstColumn="1" w:lastColumn="0" w:oddVBand="0" w:evenVBand="0" w:oddHBand="0" w:evenHBand="0" w:firstRowFirstColumn="0" w:firstRowLastColumn="0" w:lastRowFirstColumn="0" w:lastRowLastColumn="0"/>
            <w:tcW w:w="1854" w:type="dxa"/>
            <w:vMerge w:val="restart"/>
            <w:tcBorders>
              <w:top w:val="single" w:sz="12" w:space="0" w:color="AB054C"/>
              <w:bottom w:val="single" w:sz="12" w:space="0" w:color="AB054C"/>
            </w:tcBorders>
          </w:tcPr>
          <w:p w14:paraId="33CC9306" w14:textId="77777777" w:rsidR="000A1ADD" w:rsidRDefault="000A1ADD" w:rsidP="000A1ADD">
            <w:pPr>
              <w:widowControl w:val="0"/>
              <w:spacing w:after="120"/>
              <w:ind w:left="132"/>
              <w:rPr>
                <w:rFonts w:eastAsia="Calibri"/>
                <w:sz w:val="18"/>
                <w:szCs w:val="22"/>
              </w:rPr>
            </w:pPr>
            <w:r w:rsidRPr="008E12A4">
              <w:rPr>
                <w:rFonts w:eastAsia="Calibri"/>
                <w:sz w:val="18"/>
                <w:szCs w:val="22"/>
              </w:rPr>
              <w:t>Governance – risk management and accountabilit</w:t>
            </w:r>
            <w:r w:rsidRPr="00461AF6">
              <w:rPr>
                <w:rFonts w:eastAsia="Calibri"/>
                <w:sz w:val="18"/>
                <w:szCs w:val="22"/>
              </w:rPr>
              <w:t>y</w:t>
            </w:r>
          </w:p>
        </w:tc>
        <w:tc>
          <w:tcPr>
            <w:tcW w:w="4120" w:type="dxa"/>
            <w:tcBorders>
              <w:top w:val="single" w:sz="12" w:space="0" w:color="AB054C"/>
              <w:bottom w:val="single" w:sz="8" w:space="0" w:color="AB054C"/>
            </w:tcBorders>
          </w:tcPr>
          <w:p w14:paraId="4A312E83" w14:textId="77777777" w:rsidR="000A1ADD" w:rsidRPr="008E12A4" w:rsidRDefault="000A1ADD" w:rsidP="000A1ADD">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8E12A4">
              <w:rPr>
                <w:rFonts w:eastAsia="Calibri"/>
                <w:sz w:val="18"/>
                <w:szCs w:val="22"/>
              </w:rPr>
              <w:t>Risk management</w:t>
            </w:r>
          </w:p>
        </w:tc>
        <w:tc>
          <w:tcPr>
            <w:tcW w:w="2835" w:type="dxa"/>
            <w:tcBorders>
              <w:top w:val="single" w:sz="12" w:space="0" w:color="AB054C"/>
              <w:bottom w:val="single" w:sz="8" w:space="0" w:color="AB054C"/>
            </w:tcBorders>
          </w:tcPr>
          <w:p w14:paraId="5BD22F8E" w14:textId="1BEE5EC1" w:rsidR="000A1ADD" w:rsidRPr="00472174" w:rsidRDefault="000A1ADD" w:rsidP="000A1ADD">
            <w:pPr>
              <w:widowControl w:val="0"/>
              <w:spacing w:after="120"/>
              <w:ind w:left="106" w:right="1069"/>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8E12A4">
              <w:rPr>
                <w:rFonts w:eastAsia="Calibri"/>
                <w:sz w:val="18"/>
                <w:szCs w:val="22"/>
              </w:rPr>
              <w:t xml:space="preserve">ARRs – </w:t>
            </w:r>
            <w:r w:rsidR="00A944EB">
              <w:rPr>
                <w:rFonts w:eastAsia="Calibri"/>
                <w:sz w:val="18"/>
                <w:szCs w:val="22"/>
              </w:rPr>
              <w:t>section 14</w:t>
            </w:r>
            <w:r w:rsidRPr="008E12A4">
              <w:rPr>
                <w:rFonts w:eastAsia="Calibri"/>
                <w:sz w:val="18"/>
                <w:szCs w:val="22"/>
              </w:rPr>
              <w:t>.1</w:t>
            </w:r>
          </w:p>
        </w:tc>
        <w:tc>
          <w:tcPr>
            <w:tcW w:w="1418" w:type="dxa"/>
            <w:tcBorders>
              <w:top w:val="single" w:sz="12" w:space="0" w:color="AB054C"/>
              <w:bottom w:val="single" w:sz="8" w:space="0" w:color="AB054C"/>
            </w:tcBorders>
            <w:shd w:val="clear" w:color="auto" w:fill="auto"/>
          </w:tcPr>
          <w:p w14:paraId="29773DDE" w14:textId="5F24D2CE" w:rsidR="00A944EB" w:rsidRPr="008F02C1" w:rsidRDefault="008F02C1" w:rsidP="00A944EB">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9-10</w:t>
            </w:r>
            <w:r w:rsidRPr="008F02C1">
              <w:rPr>
                <w:rFonts w:eastAsia="Arial"/>
                <w:sz w:val="18"/>
                <w:szCs w:val="18"/>
              </w:rPr>
              <w:br/>
              <w:t>35-37</w:t>
            </w:r>
          </w:p>
        </w:tc>
      </w:tr>
      <w:tr w:rsidR="000A1ADD" w:rsidRPr="00341581" w14:paraId="1C741E23" w14:textId="77777777" w:rsidTr="008F02C1">
        <w:trPr>
          <w:trHeight w:val="680"/>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6B1C4DAD" w14:textId="3D1F66C4"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37DCE347" w14:textId="77777777" w:rsidR="000A1ADD" w:rsidRPr="00341581" w:rsidRDefault="000A1ADD" w:rsidP="000A1ADD">
            <w:pPr>
              <w:widowControl w:val="0"/>
              <w:numPr>
                <w:ilvl w:val="0"/>
                <w:numId w:val="16"/>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Audit committee</w:t>
            </w:r>
          </w:p>
        </w:tc>
        <w:tc>
          <w:tcPr>
            <w:tcW w:w="2835" w:type="dxa"/>
            <w:tcBorders>
              <w:top w:val="single" w:sz="8" w:space="0" w:color="AB054C"/>
              <w:bottom w:val="single" w:sz="8" w:space="0" w:color="AB054C"/>
            </w:tcBorders>
          </w:tcPr>
          <w:p w14:paraId="3007F755" w14:textId="3491EAB3" w:rsidR="000A1ADD" w:rsidRPr="00341581" w:rsidRDefault="000A1ADD"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w:t>
            </w:r>
            <w:r w:rsidR="00A944EB">
              <w:rPr>
                <w:rFonts w:eastAsia="Arial"/>
                <w:sz w:val="18"/>
                <w:szCs w:val="18"/>
              </w:rPr>
              <w:t>4</w:t>
            </w:r>
            <w:r>
              <w:rPr>
                <w:rFonts w:eastAsia="Arial"/>
                <w:sz w:val="18"/>
                <w:szCs w:val="18"/>
              </w:rPr>
              <w:t>.2</w:t>
            </w:r>
          </w:p>
        </w:tc>
        <w:tc>
          <w:tcPr>
            <w:tcW w:w="1418" w:type="dxa"/>
            <w:tcBorders>
              <w:top w:val="single" w:sz="8" w:space="0" w:color="AB054C"/>
              <w:bottom w:val="single" w:sz="8" w:space="0" w:color="AB054C"/>
            </w:tcBorders>
            <w:shd w:val="clear" w:color="auto" w:fill="auto"/>
          </w:tcPr>
          <w:p w14:paraId="3CA837DE" w14:textId="429280C5" w:rsidR="000A1ADD" w:rsidRPr="008F02C1" w:rsidRDefault="00A944EB"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9-10</w:t>
            </w:r>
          </w:p>
        </w:tc>
      </w:tr>
      <w:tr w:rsidR="000A1ADD" w:rsidRPr="00341581" w14:paraId="10498DEE" w14:textId="77777777" w:rsidTr="008F02C1">
        <w:trPr>
          <w:trHeight w:val="680"/>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2DB4DA11"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0E1E7E3E" w14:textId="77777777" w:rsidR="000A1ADD" w:rsidRPr="00341581" w:rsidRDefault="000A1ADD" w:rsidP="000A1ADD">
            <w:pPr>
              <w:widowControl w:val="0"/>
              <w:numPr>
                <w:ilvl w:val="0"/>
                <w:numId w:val="15"/>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Internal audit</w:t>
            </w:r>
          </w:p>
        </w:tc>
        <w:tc>
          <w:tcPr>
            <w:tcW w:w="2835" w:type="dxa"/>
            <w:tcBorders>
              <w:top w:val="single" w:sz="8" w:space="0" w:color="AB054C"/>
              <w:bottom w:val="single" w:sz="8" w:space="0" w:color="AB054C"/>
            </w:tcBorders>
          </w:tcPr>
          <w:p w14:paraId="42DDCF9D" w14:textId="6EC9367A" w:rsidR="000A1ADD" w:rsidRPr="00341581" w:rsidRDefault="00A944EB"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14</w:t>
            </w:r>
            <w:r w:rsidR="000A1ADD">
              <w:rPr>
                <w:rFonts w:eastAsia="Arial"/>
                <w:sz w:val="18"/>
                <w:szCs w:val="18"/>
              </w:rPr>
              <w:t>.3</w:t>
            </w:r>
          </w:p>
        </w:tc>
        <w:tc>
          <w:tcPr>
            <w:tcW w:w="1418" w:type="dxa"/>
            <w:tcBorders>
              <w:top w:val="single" w:sz="8" w:space="0" w:color="AB054C"/>
              <w:bottom w:val="single" w:sz="8" w:space="0" w:color="AB054C"/>
            </w:tcBorders>
            <w:shd w:val="clear" w:color="auto" w:fill="auto"/>
          </w:tcPr>
          <w:p w14:paraId="527291A0" w14:textId="0962EA93" w:rsidR="000A1ADD" w:rsidRPr="008F02C1" w:rsidRDefault="00A944EB"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36</w:t>
            </w:r>
          </w:p>
        </w:tc>
      </w:tr>
      <w:tr w:rsidR="000A1ADD" w:rsidRPr="00341581" w14:paraId="14AAA824" w14:textId="77777777" w:rsidTr="008F02C1">
        <w:trPr>
          <w:trHeight w:val="680"/>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70D69F07" w14:textId="77777777" w:rsidR="000A1ADD" w:rsidRPr="00341581" w:rsidRDefault="000A1ADD" w:rsidP="000A1ADD">
            <w:pPr>
              <w:spacing w:after="120"/>
              <w:rPr>
                <w:rFonts w:eastAsia="Calibri"/>
              </w:rPr>
            </w:pPr>
          </w:p>
        </w:tc>
        <w:tc>
          <w:tcPr>
            <w:tcW w:w="4120" w:type="dxa"/>
            <w:tcBorders>
              <w:top w:val="single" w:sz="8" w:space="0" w:color="AB054C"/>
              <w:bottom w:val="single" w:sz="8" w:space="0" w:color="AB054C"/>
            </w:tcBorders>
          </w:tcPr>
          <w:p w14:paraId="749FB8E4" w14:textId="77777777" w:rsidR="000A1ADD" w:rsidRPr="00341581" w:rsidRDefault="000A1ADD" w:rsidP="000A1ADD">
            <w:pPr>
              <w:widowControl w:val="0"/>
              <w:numPr>
                <w:ilvl w:val="0"/>
                <w:numId w:val="14"/>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0049F8">
              <w:rPr>
                <w:rFonts w:eastAsia="Calibri"/>
                <w:sz w:val="18"/>
                <w:szCs w:val="22"/>
              </w:rPr>
              <w:t>External Scrutiny</w:t>
            </w:r>
          </w:p>
        </w:tc>
        <w:tc>
          <w:tcPr>
            <w:tcW w:w="2835" w:type="dxa"/>
            <w:tcBorders>
              <w:top w:val="single" w:sz="8" w:space="0" w:color="AB054C"/>
              <w:bottom w:val="single" w:sz="8" w:space="0" w:color="AB054C"/>
            </w:tcBorders>
          </w:tcPr>
          <w:p w14:paraId="2E84EBA7" w14:textId="6D12F3E8" w:rsidR="000A1ADD" w:rsidRPr="00341581"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472174">
              <w:rPr>
                <w:rFonts w:eastAsia="Calibri"/>
                <w:sz w:val="18"/>
                <w:szCs w:val="22"/>
              </w:rPr>
              <w:t xml:space="preserve">ARRs – section </w:t>
            </w:r>
            <w:r w:rsidR="00A944EB">
              <w:rPr>
                <w:rFonts w:eastAsia="Calibri"/>
                <w:sz w:val="18"/>
                <w:szCs w:val="22"/>
              </w:rPr>
              <w:t>14</w:t>
            </w:r>
            <w:r>
              <w:rPr>
                <w:rFonts w:eastAsia="Calibri"/>
                <w:sz w:val="18"/>
                <w:szCs w:val="22"/>
              </w:rPr>
              <w:t>.4</w:t>
            </w:r>
          </w:p>
        </w:tc>
        <w:tc>
          <w:tcPr>
            <w:tcW w:w="1418" w:type="dxa"/>
            <w:tcBorders>
              <w:top w:val="single" w:sz="8" w:space="0" w:color="AB054C"/>
              <w:bottom w:val="single" w:sz="8" w:space="0" w:color="AB054C"/>
            </w:tcBorders>
            <w:shd w:val="clear" w:color="auto" w:fill="auto"/>
          </w:tcPr>
          <w:p w14:paraId="3C514401" w14:textId="32CDB72F" w:rsidR="000A1ADD" w:rsidRPr="008F02C1" w:rsidRDefault="00A944EB"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35</w:t>
            </w:r>
          </w:p>
        </w:tc>
      </w:tr>
      <w:tr w:rsidR="000A1ADD" w:rsidRPr="00341581" w14:paraId="02C2E55D" w14:textId="77777777" w:rsidTr="008F02C1">
        <w:trPr>
          <w:trHeight w:val="680"/>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72013562" w14:textId="77777777" w:rsidR="000A1ADD" w:rsidRPr="00341581" w:rsidRDefault="000A1ADD" w:rsidP="000A1ADD">
            <w:pPr>
              <w:spacing w:after="120"/>
              <w:rPr>
                <w:rFonts w:eastAsia="Calibri"/>
              </w:rPr>
            </w:pPr>
          </w:p>
        </w:tc>
        <w:tc>
          <w:tcPr>
            <w:tcW w:w="4120" w:type="dxa"/>
            <w:tcBorders>
              <w:top w:val="single" w:sz="8" w:space="0" w:color="AB054C"/>
              <w:bottom w:val="single" w:sz="12" w:space="0" w:color="AB054C"/>
            </w:tcBorders>
          </w:tcPr>
          <w:p w14:paraId="3369D54E" w14:textId="77777777" w:rsidR="000A1ADD" w:rsidRPr="00341581" w:rsidRDefault="000A1ADD" w:rsidP="000A1ADD">
            <w:pPr>
              <w:widowControl w:val="0"/>
              <w:numPr>
                <w:ilvl w:val="0"/>
                <w:numId w:val="13"/>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Information systems and recordkeeping</w:t>
            </w:r>
          </w:p>
        </w:tc>
        <w:tc>
          <w:tcPr>
            <w:tcW w:w="2835" w:type="dxa"/>
            <w:tcBorders>
              <w:top w:val="single" w:sz="8" w:space="0" w:color="AB054C"/>
              <w:bottom w:val="single" w:sz="12" w:space="0" w:color="AB054C"/>
            </w:tcBorders>
          </w:tcPr>
          <w:p w14:paraId="7E28EFF8" w14:textId="7F5B1711" w:rsidR="000A1ADD" w:rsidRPr="00341581" w:rsidRDefault="00A944EB"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14</w:t>
            </w:r>
            <w:r w:rsidR="000A1ADD">
              <w:rPr>
                <w:rFonts w:eastAsia="Arial"/>
                <w:sz w:val="18"/>
                <w:szCs w:val="18"/>
              </w:rPr>
              <w:t>.5</w:t>
            </w:r>
          </w:p>
        </w:tc>
        <w:tc>
          <w:tcPr>
            <w:tcW w:w="1418" w:type="dxa"/>
            <w:tcBorders>
              <w:top w:val="single" w:sz="8" w:space="0" w:color="AB054C"/>
              <w:bottom w:val="single" w:sz="12" w:space="0" w:color="AB054C"/>
            </w:tcBorders>
            <w:shd w:val="clear" w:color="auto" w:fill="auto"/>
          </w:tcPr>
          <w:p w14:paraId="038AE6BF" w14:textId="18F95F3E" w:rsidR="000A1ADD" w:rsidRPr="008F02C1" w:rsidRDefault="00A944EB"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36</w:t>
            </w:r>
          </w:p>
        </w:tc>
      </w:tr>
      <w:tr w:rsidR="000A1ADD" w:rsidRPr="00341581" w14:paraId="24BD373D" w14:textId="77777777" w:rsidTr="008F02C1">
        <w:trPr>
          <w:trHeight w:hRule="exact" w:val="714"/>
        </w:trPr>
        <w:tc>
          <w:tcPr>
            <w:cnfStyle w:val="001000000000" w:firstRow="0" w:lastRow="0" w:firstColumn="1" w:lastColumn="0" w:oddVBand="0" w:evenVBand="0" w:oddHBand="0" w:evenHBand="0" w:firstRowFirstColumn="0" w:firstRowLastColumn="0" w:lastRowFirstColumn="0" w:lastRowLastColumn="0"/>
            <w:tcW w:w="1854" w:type="dxa"/>
            <w:vMerge w:val="restart"/>
            <w:tcBorders>
              <w:top w:val="single" w:sz="12" w:space="0" w:color="AB054C"/>
            </w:tcBorders>
          </w:tcPr>
          <w:p w14:paraId="09E5C833" w14:textId="77777777" w:rsidR="000A1ADD" w:rsidRDefault="000A1ADD" w:rsidP="000A1ADD">
            <w:pPr>
              <w:widowControl w:val="0"/>
              <w:spacing w:after="120"/>
              <w:ind w:left="103"/>
              <w:rPr>
                <w:rFonts w:eastAsia="Calibri"/>
                <w:sz w:val="18"/>
                <w:szCs w:val="22"/>
              </w:rPr>
            </w:pPr>
            <w:r>
              <w:rPr>
                <w:rFonts w:eastAsia="Calibri"/>
                <w:sz w:val="18"/>
                <w:szCs w:val="22"/>
              </w:rPr>
              <w:t>Governance – human resources</w:t>
            </w:r>
          </w:p>
        </w:tc>
        <w:tc>
          <w:tcPr>
            <w:tcW w:w="4120" w:type="dxa"/>
            <w:tcBorders>
              <w:top w:val="single" w:sz="12" w:space="0" w:color="AB054C"/>
              <w:bottom w:val="single" w:sz="8" w:space="0" w:color="AB054C"/>
            </w:tcBorders>
          </w:tcPr>
          <w:p w14:paraId="4F3E14D6" w14:textId="77777777" w:rsidR="000A1ADD" w:rsidRPr="00341581" w:rsidRDefault="000A1ADD" w:rsidP="000A1ADD">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Workforce planning and performance</w:t>
            </w:r>
          </w:p>
        </w:tc>
        <w:tc>
          <w:tcPr>
            <w:tcW w:w="2835" w:type="dxa"/>
            <w:tcBorders>
              <w:top w:val="single" w:sz="12" w:space="0" w:color="AB054C"/>
              <w:bottom w:val="single" w:sz="8" w:space="0" w:color="AB054C"/>
            </w:tcBorders>
          </w:tcPr>
          <w:p w14:paraId="1BB22B14" w14:textId="23F57DFD" w:rsidR="000A1ADD" w:rsidRPr="00341581" w:rsidRDefault="00A944EB"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15</w:t>
            </w:r>
            <w:r w:rsidR="000A1ADD">
              <w:rPr>
                <w:rFonts w:eastAsia="Arial"/>
                <w:sz w:val="18"/>
                <w:szCs w:val="18"/>
              </w:rPr>
              <w:t>.1</w:t>
            </w:r>
          </w:p>
        </w:tc>
        <w:tc>
          <w:tcPr>
            <w:tcW w:w="1418" w:type="dxa"/>
            <w:tcBorders>
              <w:top w:val="single" w:sz="12" w:space="0" w:color="AB054C"/>
              <w:bottom w:val="single" w:sz="8" w:space="0" w:color="AB054C"/>
            </w:tcBorders>
            <w:shd w:val="clear" w:color="auto" w:fill="auto"/>
          </w:tcPr>
          <w:p w14:paraId="1D2B648D" w14:textId="28D62FFA" w:rsidR="000A1ADD" w:rsidRPr="008F02C1" w:rsidRDefault="008F02C1"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38-40</w:t>
            </w:r>
          </w:p>
        </w:tc>
      </w:tr>
      <w:tr w:rsidR="000A1ADD" w:rsidRPr="00341581" w14:paraId="02160FB2" w14:textId="77777777" w:rsidTr="008F02C1">
        <w:trPr>
          <w:trHeight w:hRule="exact" w:val="1254"/>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09FCD39D" w14:textId="77777777" w:rsidR="000A1ADD" w:rsidRDefault="000A1ADD" w:rsidP="000A1ADD">
            <w:pPr>
              <w:widowControl w:val="0"/>
              <w:spacing w:after="120"/>
              <w:ind w:left="103"/>
              <w:rPr>
                <w:rFonts w:eastAsia="Calibri"/>
                <w:sz w:val="18"/>
                <w:szCs w:val="22"/>
              </w:rPr>
            </w:pPr>
          </w:p>
        </w:tc>
        <w:tc>
          <w:tcPr>
            <w:tcW w:w="4120" w:type="dxa"/>
            <w:tcBorders>
              <w:top w:val="single" w:sz="8" w:space="0" w:color="AB054C"/>
              <w:bottom w:val="single" w:sz="12" w:space="0" w:color="AB054C"/>
            </w:tcBorders>
          </w:tcPr>
          <w:p w14:paraId="434EE735" w14:textId="77777777" w:rsidR="000A1ADD" w:rsidRPr="00341581" w:rsidRDefault="000A1ADD" w:rsidP="000A1ADD">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Early retirement, redundancy and retrenchment</w:t>
            </w:r>
          </w:p>
        </w:tc>
        <w:tc>
          <w:tcPr>
            <w:tcW w:w="2835" w:type="dxa"/>
            <w:tcBorders>
              <w:top w:val="single" w:sz="8" w:space="0" w:color="AB054C"/>
              <w:bottom w:val="single" w:sz="12" w:space="0" w:color="AB054C"/>
            </w:tcBorders>
          </w:tcPr>
          <w:p w14:paraId="4508A66F" w14:textId="77777777" w:rsidR="000A1ADD" w:rsidRDefault="000A1ADD"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 xml:space="preserve">Directive No. 11/12 </w:t>
            </w:r>
            <w:r w:rsidRPr="00652B39">
              <w:rPr>
                <w:rFonts w:eastAsia="Arial"/>
                <w:i/>
                <w:sz w:val="18"/>
                <w:szCs w:val="18"/>
              </w:rPr>
              <w:t>Early Retirement, Redundancy and Retrenchment</w:t>
            </w:r>
          </w:p>
          <w:p w14:paraId="77E5C36B" w14:textId="001B306C" w:rsidR="000A1ADD" w:rsidRPr="00341581" w:rsidRDefault="00A944EB" w:rsidP="000A1ADD">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15</w:t>
            </w:r>
            <w:r w:rsidR="000A1ADD">
              <w:rPr>
                <w:rFonts w:eastAsia="Arial"/>
                <w:sz w:val="18"/>
                <w:szCs w:val="18"/>
              </w:rPr>
              <w:t>.2</w:t>
            </w:r>
          </w:p>
        </w:tc>
        <w:tc>
          <w:tcPr>
            <w:tcW w:w="1418" w:type="dxa"/>
            <w:tcBorders>
              <w:top w:val="single" w:sz="8" w:space="0" w:color="AB054C"/>
              <w:bottom w:val="single" w:sz="12" w:space="0" w:color="AB054C"/>
            </w:tcBorders>
            <w:shd w:val="clear" w:color="auto" w:fill="auto"/>
          </w:tcPr>
          <w:p w14:paraId="4486CA92" w14:textId="0DD0BDD7" w:rsidR="000A1ADD" w:rsidRPr="008F02C1" w:rsidRDefault="008F02C1"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40</w:t>
            </w:r>
          </w:p>
        </w:tc>
      </w:tr>
      <w:tr w:rsidR="000A1ADD" w:rsidRPr="00341581" w14:paraId="68DE272C" w14:textId="77777777" w:rsidTr="008F02C1">
        <w:trPr>
          <w:trHeight w:val="624"/>
        </w:trPr>
        <w:tc>
          <w:tcPr>
            <w:cnfStyle w:val="001000000000" w:firstRow="0" w:lastRow="0" w:firstColumn="1" w:lastColumn="0" w:oddVBand="0" w:evenVBand="0" w:oddHBand="0" w:evenHBand="0" w:firstRowFirstColumn="0" w:firstRowLastColumn="0" w:lastRowFirstColumn="0" w:lastRowLastColumn="0"/>
            <w:tcW w:w="1854" w:type="dxa"/>
            <w:vMerge w:val="restart"/>
            <w:tcBorders>
              <w:top w:val="single" w:sz="12" w:space="0" w:color="AB054C"/>
            </w:tcBorders>
          </w:tcPr>
          <w:p w14:paraId="2364CC2C" w14:textId="77777777" w:rsidR="000A1ADD" w:rsidRDefault="000A1ADD" w:rsidP="000A1ADD">
            <w:pPr>
              <w:widowControl w:val="0"/>
              <w:spacing w:after="120"/>
              <w:ind w:left="103"/>
              <w:rPr>
                <w:rFonts w:eastAsia="Calibri"/>
                <w:sz w:val="18"/>
                <w:szCs w:val="22"/>
              </w:rPr>
            </w:pPr>
            <w:r>
              <w:rPr>
                <w:rFonts w:eastAsia="Calibri"/>
                <w:sz w:val="18"/>
                <w:szCs w:val="22"/>
              </w:rPr>
              <w:t>Open data</w:t>
            </w:r>
          </w:p>
        </w:tc>
        <w:tc>
          <w:tcPr>
            <w:tcW w:w="4120" w:type="dxa"/>
            <w:tcBorders>
              <w:top w:val="single" w:sz="12" w:space="0" w:color="AB054C"/>
              <w:bottom w:val="single" w:sz="4" w:space="0" w:color="AB054C" w:themeColor="accent3"/>
            </w:tcBorders>
          </w:tcPr>
          <w:p w14:paraId="6CF989C7" w14:textId="1A3C664A" w:rsidR="000A1ADD" w:rsidRPr="00341581" w:rsidRDefault="00A944EB" w:rsidP="000A1ADD">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Statement advising publication of information</w:t>
            </w:r>
          </w:p>
        </w:tc>
        <w:tc>
          <w:tcPr>
            <w:tcW w:w="2835" w:type="dxa"/>
            <w:tcBorders>
              <w:top w:val="single" w:sz="12" w:space="0" w:color="AB054C"/>
              <w:bottom w:val="single" w:sz="4" w:space="0" w:color="AB054C" w:themeColor="accent3"/>
            </w:tcBorders>
          </w:tcPr>
          <w:p w14:paraId="537ED0D1" w14:textId="27886985" w:rsidR="000A1ADD" w:rsidRPr="00341581"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16</w:t>
            </w:r>
          </w:p>
        </w:tc>
        <w:tc>
          <w:tcPr>
            <w:tcW w:w="1418" w:type="dxa"/>
            <w:tcBorders>
              <w:top w:val="single" w:sz="12" w:space="0" w:color="AB054C"/>
              <w:bottom w:val="single" w:sz="4" w:space="0" w:color="AB054C" w:themeColor="accent3"/>
            </w:tcBorders>
            <w:shd w:val="clear" w:color="auto" w:fill="auto"/>
          </w:tcPr>
          <w:p w14:paraId="431DCA14" w14:textId="3744EBBC" w:rsidR="000A1ADD" w:rsidRPr="008F02C1" w:rsidRDefault="00A944EB" w:rsidP="000A1ADD">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w:t>
            </w:r>
          </w:p>
        </w:tc>
      </w:tr>
      <w:tr w:rsidR="00A944EB" w:rsidRPr="00341581" w14:paraId="4E7192B1" w14:textId="77777777" w:rsidTr="008F02C1">
        <w:trPr>
          <w:trHeight w:val="624"/>
        </w:trPr>
        <w:tc>
          <w:tcPr>
            <w:cnfStyle w:val="001000000000" w:firstRow="0" w:lastRow="0" w:firstColumn="1" w:lastColumn="0" w:oddVBand="0" w:evenVBand="0" w:oddHBand="0" w:evenHBand="0" w:firstRowFirstColumn="0" w:firstRowLastColumn="0" w:lastRowFirstColumn="0" w:lastRowLastColumn="0"/>
            <w:tcW w:w="1854" w:type="dxa"/>
            <w:vMerge/>
            <w:tcBorders>
              <w:top w:val="single" w:sz="12" w:space="0" w:color="AB054C"/>
            </w:tcBorders>
          </w:tcPr>
          <w:p w14:paraId="7C9443C1" w14:textId="77777777" w:rsidR="00A944EB" w:rsidRDefault="00A944EB" w:rsidP="00A944EB">
            <w:pPr>
              <w:widowControl w:val="0"/>
              <w:ind w:left="103"/>
              <w:rPr>
                <w:rFonts w:eastAsia="Calibri"/>
                <w:sz w:val="18"/>
                <w:szCs w:val="22"/>
              </w:rPr>
            </w:pPr>
          </w:p>
        </w:tc>
        <w:tc>
          <w:tcPr>
            <w:tcW w:w="4120" w:type="dxa"/>
            <w:tcBorders>
              <w:top w:val="single" w:sz="4" w:space="0" w:color="AB054C" w:themeColor="accent3"/>
              <w:bottom w:val="single" w:sz="8" w:space="0" w:color="AB054C"/>
            </w:tcBorders>
          </w:tcPr>
          <w:p w14:paraId="5EF83CCC" w14:textId="336A46D6" w:rsidR="00A944EB" w:rsidRDefault="00A944EB" w:rsidP="00A944EB">
            <w:pPr>
              <w:widowControl w:val="0"/>
              <w:numPr>
                <w:ilvl w:val="0"/>
                <w:numId w:val="12"/>
              </w:numPr>
              <w:tabs>
                <w:tab w:val="left" w:pos="356"/>
              </w:tabs>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Consultancies</w:t>
            </w:r>
          </w:p>
        </w:tc>
        <w:tc>
          <w:tcPr>
            <w:tcW w:w="2835" w:type="dxa"/>
            <w:tcBorders>
              <w:top w:val="single" w:sz="4" w:space="0" w:color="AB054C" w:themeColor="accent3"/>
              <w:bottom w:val="single" w:sz="8" w:space="0" w:color="AB054C"/>
            </w:tcBorders>
          </w:tcPr>
          <w:p w14:paraId="74413759" w14:textId="11A00406" w:rsidR="00A944EB" w:rsidRDefault="00A944EB" w:rsidP="00A944EB">
            <w:pPr>
              <w:widowControl w:val="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33.1</w:t>
            </w:r>
          </w:p>
        </w:tc>
        <w:tc>
          <w:tcPr>
            <w:tcW w:w="1418" w:type="dxa"/>
            <w:tcBorders>
              <w:top w:val="single" w:sz="4" w:space="0" w:color="AB054C" w:themeColor="accent3"/>
              <w:bottom w:val="single" w:sz="8" w:space="0" w:color="AB054C"/>
            </w:tcBorders>
            <w:shd w:val="clear" w:color="auto" w:fill="auto"/>
          </w:tcPr>
          <w:p w14:paraId="04F537FD" w14:textId="1FEDEBD1" w:rsidR="00A944EB" w:rsidRPr="008F02C1" w:rsidRDefault="00A944EB" w:rsidP="00A944EB">
            <w:pPr>
              <w:widowControl w:val="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w:t>
            </w:r>
          </w:p>
        </w:tc>
      </w:tr>
      <w:tr w:rsidR="00A944EB" w:rsidRPr="00341581" w14:paraId="4F0414CC" w14:textId="77777777" w:rsidTr="008F02C1">
        <w:trPr>
          <w:trHeight w:val="624"/>
        </w:trPr>
        <w:tc>
          <w:tcPr>
            <w:cnfStyle w:val="001000000000" w:firstRow="0" w:lastRow="0" w:firstColumn="1" w:lastColumn="0" w:oddVBand="0" w:evenVBand="0" w:oddHBand="0" w:evenHBand="0" w:firstRowFirstColumn="0" w:firstRowLastColumn="0" w:lastRowFirstColumn="0" w:lastRowLastColumn="0"/>
            <w:tcW w:w="1854" w:type="dxa"/>
            <w:vMerge/>
          </w:tcPr>
          <w:p w14:paraId="2D91AEE2" w14:textId="77777777" w:rsidR="00A944EB" w:rsidRDefault="00A944EB" w:rsidP="00A944EB">
            <w:pPr>
              <w:widowControl w:val="0"/>
              <w:spacing w:after="120"/>
              <w:ind w:left="103"/>
              <w:rPr>
                <w:rFonts w:eastAsia="Calibri"/>
                <w:sz w:val="18"/>
                <w:szCs w:val="22"/>
              </w:rPr>
            </w:pPr>
          </w:p>
        </w:tc>
        <w:tc>
          <w:tcPr>
            <w:tcW w:w="4120" w:type="dxa"/>
            <w:tcBorders>
              <w:top w:val="single" w:sz="8" w:space="0" w:color="AB054C"/>
              <w:bottom w:val="single" w:sz="8" w:space="0" w:color="AB054C"/>
            </w:tcBorders>
          </w:tcPr>
          <w:p w14:paraId="48EEDD28" w14:textId="77777777" w:rsidR="00A944EB" w:rsidRPr="00341581" w:rsidRDefault="00A944EB" w:rsidP="00A944EB">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Overseas travel</w:t>
            </w:r>
          </w:p>
        </w:tc>
        <w:tc>
          <w:tcPr>
            <w:tcW w:w="2835" w:type="dxa"/>
            <w:tcBorders>
              <w:top w:val="single" w:sz="8" w:space="0" w:color="AB054C"/>
              <w:bottom w:val="single" w:sz="8" w:space="0" w:color="AB054C"/>
            </w:tcBorders>
          </w:tcPr>
          <w:p w14:paraId="3D4AA497" w14:textId="684A0460" w:rsidR="00A944EB" w:rsidRPr="00341581"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33.2</w:t>
            </w:r>
          </w:p>
        </w:tc>
        <w:tc>
          <w:tcPr>
            <w:tcW w:w="1418" w:type="dxa"/>
            <w:tcBorders>
              <w:top w:val="single" w:sz="8" w:space="0" w:color="AB054C"/>
              <w:bottom w:val="single" w:sz="8" w:space="0" w:color="AB054C"/>
            </w:tcBorders>
            <w:shd w:val="clear" w:color="auto" w:fill="auto"/>
          </w:tcPr>
          <w:p w14:paraId="7398FBE2" w14:textId="7A96C47E" w:rsidR="00A944EB" w:rsidRPr="008F02C1" w:rsidRDefault="00A944EB" w:rsidP="00A944EB">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w:t>
            </w:r>
          </w:p>
        </w:tc>
      </w:tr>
      <w:tr w:rsidR="00A944EB" w:rsidRPr="00341581" w14:paraId="1C0F074B" w14:textId="77777777" w:rsidTr="008F02C1">
        <w:trPr>
          <w:trHeight w:val="624"/>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AB054C"/>
            </w:tcBorders>
          </w:tcPr>
          <w:p w14:paraId="6A9EAE26" w14:textId="77777777" w:rsidR="00A944EB" w:rsidRDefault="00A944EB" w:rsidP="00A944EB">
            <w:pPr>
              <w:widowControl w:val="0"/>
              <w:spacing w:after="120"/>
              <w:ind w:left="103"/>
              <w:rPr>
                <w:rFonts w:eastAsia="Calibri"/>
                <w:sz w:val="18"/>
                <w:szCs w:val="22"/>
              </w:rPr>
            </w:pPr>
          </w:p>
        </w:tc>
        <w:tc>
          <w:tcPr>
            <w:tcW w:w="4120" w:type="dxa"/>
            <w:tcBorders>
              <w:top w:val="single" w:sz="8" w:space="0" w:color="AB054C"/>
              <w:bottom w:val="single" w:sz="12" w:space="0" w:color="AB054C"/>
              <w:right w:val="nil"/>
            </w:tcBorders>
          </w:tcPr>
          <w:p w14:paraId="648BD20D" w14:textId="77777777" w:rsidR="00A944EB" w:rsidRPr="00341581" w:rsidRDefault="00A944EB" w:rsidP="00A944EB">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161846">
              <w:rPr>
                <w:rFonts w:eastAsia="Calibri"/>
                <w:sz w:val="18"/>
                <w:szCs w:val="22"/>
              </w:rPr>
              <w:t>Queensland Language Services Policy</w:t>
            </w:r>
          </w:p>
        </w:tc>
        <w:tc>
          <w:tcPr>
            <w:tcW w:w="2835" w:type="dxa"/>
            <w:tcBorders>
              <w:top w:val="single" w:sz="8" w:space="0" w:color="AB054C"/>
              <w:left w:val="nil"/>
              <w:bottom w:val="single" w:sz="12" w:space="0" w:color="AB054C"/>
              <w:right w:val="nil"/>
            </w:tcBorders>
          </w:tcPr>
          <w:p w14:paraId="7EDDFE7A" w14:textId="7AC29AD7" w:rsidR="00A944EB" w:rsidRPr="00341581"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33.3</w:t>
            </w:r>
          </w:p>
        </w:tc>
        <w:tc>
          <w:tcPr>
            <w:tcW w:w="1418" w:type="dxa"/>
            <w:tcBorders>
              <w:top w:val="single" w:sz="8" w:space="0" w:color="AB054C"/>
              <w:left w:val="nil"/>
              <w:bottom w:val="single" w:sz="12" w:space="0" w:color="AB054C"/>
              <w:right w:val="nil"/>
            </w:tcBorders>
            <w:shd w:val="clear" w:color="auto" w:fill="auto"/>
          </w:tcPr>
          <w:p w14:paraId="2578883B" w14:textId="16BB1C73" w:rsidR="00A944EB" w:rsidRPr="008F02C1" w:rsidRDefault="00A944EB" w:rsidP="00A944EB">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1</w:t>
            </w:r>
          </w:p>
        </w:tc>
      </w:tr>
      <w:tr w:rsidR="00A944EB" w:rsidRPr="00341581" w14:paraId="4A47BC9B" w14:textId="77777777" w:rsidTr="008F02C1">
        <w:trPr>
          <w:trHeight w:val="907"/>
        </w:trPr>
        <w:tc>
          <w:tcPr>
            <w:cnfStyle w:val="001000000000" w:firstRow="0" w:lastRow="0" w:firstColumn="1" w:lastColumn="0" w:oddVBand="0" w:evenVBand="0" w:oddHBand="0" w:evenHBand="0" w:firstRowFirstColumn="0" w:firstRowLastColumn="0" w:lastRowFirstColumn="0" w:lastRowLastColumn="0"/>
            <w:tcW w:w="1854" w:type="dxa"/>
            <w:vMerge w:val="restart"/>
            <w:tcBorders>
              <w:top w:val="single" w:sz="12" w:space="0" w:color="AB054C"/>
            </w:tcBorders>
          </w:tcPr>
          <w:p w14:paraId="07978325" w14:textId="77777777" w:rsidR="00A944EB" w:rsidRDefault="00A944EB" w:rsidP="00A944EB">
            <w:pPr>
              <w:widowControl w:val="0"/>
              <w:spacing w:after="120"/>
              <w:ind w:left="103"/>
              <w:rPr>
                <w:rFonts w:eastAsia="Calibri"/>
                <w:sz w:val="18"/>
                <w:szCs w:val="22"/>
              </w:rPr>
            </w:pPr>
            <w:r>
              <w:rPr>
                <w:rFonts w:eastAsia="Calibri"/>
                <w:sz w:val="18"/>
                <w:szCs w:val="22"/>
              </w:rPr>
              <w:t>Financial statements</w:t>
            </w:r>
          </w:p>
        </w:tc>
        <w:tc>
          <w:tcPr>
            <w:tcW w:w="4120" w:type="dxa"/>
            <w:tcBorders>
              <w:top w:val="single" w:sz="12" w:space="0" w:color="AB054C"/>
              <w:bottom w:val="single" w:sz="8" w:space="0" w:color="8A002E"/>
            </w:tcBorders>
          </w:tcPr>
          <w:p w14:paraId="5A8ECD13" w14:textId="77777777" w:rsidR="00A944EB" w:rsidRPr="00341581" w:rsidRDefault="00A944EB" w:rsidP="00A944EB">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Certification of financial statements</w:t>
            </w:r>
          </w:p>
        </w:tc>
        <w:tc>
          <w:tcPr>
            <w:tcW w:w="2835" w:type="dxa"/>
            <w:tcBorders>
              <w:top w:val="single" w:sz="12" w:space="0" w:color="AB054C"/>
              <w:bottom w:val="single" w:sz="8" w:space="0" w:color="8A002E"/>
            </w:tcBorders>
          </w:tcPr>
          <w:p w14:paraId="335E394E" w14:textId="77777777" w:rsidR="00A944EB"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FAA – section 62</w:t>
            </w:r>
          </w:p>
          <w:p w14:paraId="40C9324A" w14:textId="77777777" w:rsidR="00A944EB"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FPMS – sections 42, 43 and 50</w:t>
            </w:r>
          </w:p>
          <w:p w14:paraId="019B0945" w14:textId="0E66A56A" w:rsidR="00A944EB" w:rsidRPr="00341581"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17.1</w:t>
            </w:r>
          </w:p>
        </w:tc>
        <w:tc>
          <w:tcPr>
            <w:tcW w:w="1418" w:type="dxa"/>
            <w:tcBorders>
              <w:top w:val="single" w:sz="12" w:space="0" w:color="AB054C"/>
              <w:bottom w:val="single" w:sz="8" w:space="0" w:color="8A002E"/>
            </w:tcBorders>
            <w:shd w:val="clear" w:color="auto" w:fill="auto"/>
          </w:tcPr>
          <w:p w14:paraId="33BF3B03" w14:textId="42E0FD09" w:rsidR="00A944EB" w:rsidRPr="008F02C1" w:rsidRDefault="00787A4D" w:rsidP="00A944EB">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8F02C1">
              <w:rPr>
                <w:rFonts w:eastAsia="Arial"/>
                <w:sz w:val="18"/>
                <w:szCs w:val="18"/>
              </w:rPr>
              <w:t>56</w:t>
            </w:r>
          </w:p>
        </w:tc>
      </w:tr>
      <w:tr w:rsidR="00A944EB" w:rsidRPr="00341581" w14:paraId="3E827766" w14:textId="77777777" w:rsidTr="008F02C1">
        <w:trPr>
          <w:trHeight w:val="907"/>
        </w:trPr>
        <w:tc>
          <w:tcPr>
            <w:cnfStyle w:val="001000000000" w:firstRow="0" w:lastRow="0" w:firstColumn="1" w:lastColumn="0" w:oddVBand="0" w:evenVBand="0" w:oddHBand="0" w:evenHBand="0" w:firstRowFirstColumn="0" w:firstRowLastColumn="0" w:lastRowFirstColumn="0" w:lastRowLastColumn="0"/>
            <w:tcW w:w="1854" w:type="dxa"/>
            <w:vMerge/>
            <w:tcBorders>
              <w:bottom w:val="single" w:sz="12" w:space="0" w:color="8A002E"/>
            </w:tcBorders>
          </w:tcPr>
          <w:p w14:paraId="3D1B5579" w14:textId="77777777" w:rsidR="00A944EB" w:rsidRDefault="00A944EB" w:rsidP="00A944EB">
            <w:pPr>
              <w:widowControl w:val="0"/>
              <w:spacing w:after="120"/>
              <w:ind w:left="103"/>
              <w:rPr>
                <w:rFonts w:eastAsia="Calibri"/>
                <w:sz w:val="18"/>
                <w:szCs w:val="22"/>
              </w:rPr>
            </w:pPr>
          </w:p>
        </w:tc>
        <w:tc>
          <w:tcPr>
            <w:tcW w:w="4120" w:type="dxa"/>
            <w:tcBorders>
              <w:top w:val="single" w:sz="8" w:space="0" w:color="8A002E"/>
              <w:bottom w:val="single" w:sz="12" w:space="0" w:color="8A002E"/>
            </w:tcBorders>
          </w:tcPr>
          <w:p w14:paraId="5CAAC5F1" w14:textId="77777777" w:rsidR="00A944EB" w:rsidRDefault="00A944EB" w:rsidP="00A944EB">
            <w:pPr>
              <w:widowControl w:val="0"/>
              <w:numPr>
                <w:ilvl w:val="0"/>
                <w:numId w:val="12"/>
              </w:numPr>
              <w:tabs>
                <w:tab w:val="left" w:pos="356"/>
              </w:tabs>
              <w:spacing w:after="120"/>
              <w:ind w:right="141" w:hanging="249"/>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Independent Auditor’s Report</w:t>
            </w:r>
          </w:p>
        </w:tc>
        <w:tc>
          <w:tcPr>
            <w:tcW w:w="2835" w:type="dxa"/>
            <w:tcBorders>
              <w:top w:val="single" w:sz="8" w:space="0" w:color="8A002E"/>
              <w:bottom w:val="single" w:sz="12" w:space="0" w:color="8A002E"/>
            </w:tcBorders>
          </w:tcPr>
          <w:p w14:paraId="1E78973A" w14:textId="77777777" w:rsidR="00A944EB"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FAA – section 62</w:t>
            </w:r>
          </w:p>
          <w:p w14:paraId="134E5C66" w14:textId="77777777" w:rsidR="00A944EB"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FPMS – section 50</w:t>
            </w:r>
          </w:p>
          <w:p w14:paraId="403B5DBE" w14:textId="77777777" w:rsidR="00A944EB" w:rsidRDefault="00A944EB" w:rsidP="00A944EB">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 section 18.2</w:t>
            </w:r>
          </w:p>
        </w:tc>
        <w:tc>
          <w:tcPr>
            <w:tcW w:w="1418" w:type="dxa"/>
            <w:tcBorders>
              <w:top w:val="single" w:sz="8" w:space="0" w:color="8A002E"/>
              <w:bottom w:val="single" w:sz="12" w:space="0" w:color="8A002E"/>
            </w:tcBorders>
            <w:shd w:val="clear" w:color="auto" w:fill="auto"/>
          </w:tcPr>
          <w:p w14:paraId="40880DB4" w14:textId="61589111" w:rsidR="00A944EB" w:rsidRPr="008F02C1" w:rsidRDefault="00AF77B9" w:rsidP="00A944EB">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57-58</w:t>
            </w:r>
          </w:p>
        </w:tc>
      </w:tr>
    </w:tbl>
    <w:p w14:paraId="2549D672" w14:textId="1CB4A251" w:rsidR="000A1ADD" w:rsidRDefault="000A1ADD">
      <w:pPr>
        <w:rPr>
          <w:rFonts w:ascii="Arial Bold" w:eastAsia="Times New Roman" w:hAnsi="Arial Bold"/>
          <w:b/>
          <w:i/>
          <w:color w:val="AB054C"/>
          <w:sz w:val="36"/>
          <w14:ligatures w14:val="standardContextual"/>
        </w:rPr>
      </w:pPr>
    </w:p>
    <w:p w14:paraId="5277EC57" w14:textId="77777777" w:rsidR="00961EA5" w:rsidRDefault="00961EA5"/>
    <w:p w14:paraId="526A3898" w14:textId="2142D737" w:rsidR="000A1ADD" w:rsidRPr="00AB5C47" w:rsidRDefault="00961EA5" w:rsidP="00AB5C47">
      <w:pPr>
        <w:spacing w:line="360" w:lineRule="auto"/>
        <w:rPr>
          <w:i/>
        </w:rPr>
      </w:pPr>
      <w:r w:rsidRPr="00FB1F40">
        <w:rPr>
          <w:i/>
        </w:rPr>
        <w:t>FAA</w:t>
      </w:r>
      <w:r w:rsidR="00745E9C">
        <w:rPr>
          <w:i/>
        </w:rPr>
        <w:t xml:space="preserve"> Fi</w:t>
      </w:r>
      <w:r w:rsidR="00FB1F40" w:rsidRPr="00FB1F40">
        <w:rPr>
          <w:i/>
        </w:rPr>
        <w:t>nancial Accountability Act 2009</w:t>
      </w:r>
      <w:r w:rsidR="00FB1F40" w:rsidRPr="00FB1F40">
        <w:rPr>
          <w:i/>
        </w:rPr>
        <w:br/>
        <w:t>FPMS Financial and Performance Management Standard 2009</w:t>
      </w:r>
      <w:r w:rsidR="00FB1F40" w:rsidRPr="00FB1F40">
        <w:rPr>
          <w:i/>
        </w:rPr>
        <w:br/>
        <w:t xml:space="preserve">ARR Annual report requirements for Queensland Government agencies </w:t>
      </w:r>
      <w:r w:rsidR="00AB5C47">
        <w:rPr>
          <w:i/>
        </w:rPr>
        <w:br/>
      </w:r>
      <w:r w:rsidR="00AB5C47" w:rsidRPr="00AB5C47">
        <w:rPr>
          <w:i/>
        </w:rPr>
        <w:t xml:space="preserve">QGEA Queensland Government Enterprise Architecture </w:t>
      </w:r>
      <w:r w:rsidR="000A1ADD" w:rsidRPr="00AB5C47">
        <w:rPr>
          <w:i/>
        </w:rPr>
        <w:br w:type="page"/>
      </w:r>
    </w:p>
    <w:p w14:paraId="6CE28AEE" w14:textId="2E2B690F" w:rsidR="007A4AD3" w:rsidRPr="006E1C5C" w:rsidRDefault="007A4AD3" w:rsidP="007703EB">
      <w:pPr>
        <w:pStyle w:val="Heading2"/>
      </w:pPr>
      <w:bookmarkStart w:id="273" w:name="_Toc492622975"/>
      <w:r w:rsidRPr="007C2B1C">
        <w:lastRenderedPageBreak/>
        <w:t>Contacts and key locations</w:t>
      </w:r>
      <w:bookmarkEnd w:id="262"/>
      <w:bookmarkEnd w:id="263"/>
      <w:bookmarkEnd w:id="264"/>
      <w:bookmarkEnd w:id="265"/>
      <w:bookmarkEnd w:id="266"/>
      <w:bookmarkEnd w:id="268"/>
      <w:bookmarkEnd w:id="269"/>
      <w:bookmarkEnd w:id="270"/>
      <w:bookmarkEnd w:id="271"/>
      <w:bookmarkEnd w:id="272"/>
      <w:bookmarkEnd w:id="273"/>
    </w:p>
    <w:tbl>
      <w:tblPr>
        <w:tblW w:w="9958" w:type="dxa"/>
        <w:tblInd w:w="-142" w:type="dxa"/>
        <w:tblLayout w:type="fixed"/>
        <w:tblCellMar>
          <w:left w:w="0" w:type="dxa"/>
          <w:right w:w="0" w:type="dxa"/>
        </w:tblCellMar>
        <w:tblLook w:val="01E0" w:firstRow="1" w:lastRow="1" w:firstColumn="1" w:lastColumn="1" w:noHBand="0" w:noVBand="0"/>
      </w:tblPr>
      <w:tblGrid>
        <w:gridCol w:w="9958"/>
      </w:tblGrid>
      <w:tr w:rsidR="00A5657B" w14:paraId="65937510" w14:textId="77777777" w:rsidTr="000A1ADD">
        <w:trPr>
          <w:trHeight w:hRule="exact" w:val="1638"/>
        </w:trPr>
        <w:tc>
          <w:tcPr>
            <w:tcW w:w="9958" w:type="dxa"/>
            <w:tcBorders>
              <w:top w:val="nil"/>
              <w:left w:val="nil"/>
              <w:bottom w:val="nil"/>
              <w:right w:val="nil"/>
            </w:tcBorders>
            <w:shd w:val="clear" w:color="auto" w:fill="FEDADD" w:themeFill="accent5"/>
          </w:tcPr>
          <w:p w14:paraId="49F8CB9D" w14:textId="77777777" w:rsidR="00A5657B" w:rsidRPr="00C1093F" w:rsidRDefault="00A5657B" w:rsidP="000532A5">
            <w:pPr>
              <w:pStyle w:val="TableParagraph"/>
              <w:spacing w:before="120" w:after="120"/>
              <w:ind w:left="108"/>
              <w:rPr>
                <w:rFonts w:ascii="Arial"/>
                <w:b/>
              </w:rPr>
            </w:pPr>
            <w:r w:rsidRPr="00C1093F">
              <w:rPr>
                <w:rFonts w:ascii="Arial"/>
                <w:b/>
              </w:rPr>
              <w:t xml:space="preserve">Head </w:t>
            </w:r>
            <w:r>
              <w:rPr>
                <w:rFonts w:ascii="Arial"/>
                <w:b/>
              </w:rPr>
              <w:t>o</w:t>
            </w:r>
            <w:r w:rsidRPr="00C1093F">
              <w:rPr>
                <w:rFonts w:ascii="Arial"/>
                <w:b/>
              </w:rPr>
              <w:t>ffice</w:t>
            </w:r>
          </w:p>
          <w:p w14:paraId="68A82950" w14:textId="5D3E3C0C" w:rsidR="00A5657B" w:rsidRPr="00C1093F" w:rsidRDefault="00215273" w:rsidP="000532A5">
            <w:pPr>
              <w:pStyle w:val="TableParagraph"/>
              <w:spacing w:before="120" w:after="120"/>
              <w:ind w:left="108"/>
              <w:rPr>
                <w:rFonts w:ascii="Arial"/>
              </w:rPr>
            </w:pPr>
            <w:r>
              <w:rPr>
                <w:rFonts w:ascii="Arial"/>
              </w:rPr>
              <w:t>Level 31</w:t>
            </w:r>
          </w:p>
          <w:p w14:paraId="102611FA" w14:textId="50C86E2C" w:rsidR="00A5657B" w:rsidRPr="00C1093F" w:rsidRDefault="00215273" w:rsidP="000532A5">
            <w:pPr>
              <w:pStyle w:val="TableParagraph"/>
              <w:spacing w:before="120" w:after="120"/>
              <w:ind w:left="108"/>
              <w:rPr>
                <w:rFonts w:ascii="Arial"/>
              </w:rPr>
            </w:pPr>
            <w:r>
              <w:rPr>
                <w:rFonts w:ascii="Arial"/>
              </w:rPr>
              <w:t>1 William Street</w:t>
            </w:r>
          </w:p>
          <w:p w14:paraId="1F8C5487" w14:textId="77777777" w:rsidR="00A5657B" w:rsidRDefault="00A5657B" w:rsidP="000532A5">
            <w:pPr>
              <w:pStyle w:val="TableParagraph"/>
              <w:spacing w:before="120" w:after="120"/>
              <w:ind w:left="108"/>
              <w:rPr>
                <w:rFonts w:ascii="Arial" w:eastAsia="Arial" w:hAnsi="Arial" w:cs="Arial"/>
              </w:rPr>
            </w:pPr>
            <w:r w:rsidRPr="00C1093F">
              <w:rPr>
                <w:rFonts w:ascii="Arial"/>
              </w:rPr>
              <w:t xml:space="preserve">Brisbane  Qld </w:t>
            </w:r>
            <w:r w:rsidR="00D91474">
              <w:rPr>
                <w:rFonts w:ascii="Arial"/>
              </w:rPr>
              <w:t xml:space="preserve"> </w:t>
            </w:r>
            <w:r w:rsidRPr="00C1093F">
              <w:rPr>
                <w:rFonts w:ascii="Arial"/>
              </w:rPr>
              <w:t>4000</w:t>
            </w:r>
          </w:p>
        </w:tc>
      </w:tr>
      <w:tr w:rsidR="00A5657B" w14:paraId="67F188F3" w14:textId="77777777" w:rsidTr="000A1ADD">
        <w:trPr>
          <w:trHeight w:hRule="exact" w:val="1707"/>
        </w:trPr>
        <w:tc>
          <w:tcPr>
            <w:tcW w:w="9958" w:type="dxa"/>
            <w:tcBorders>
              <w:top w:val="nil"/>
              <w:left w:val="nil"/>
              <w:bottom w:val="nil"/>
              <w:right w:val="nil"/>
            </w:tcBorders>
          </w:tcPr>
          <w:p w14:paraId="64FEE597" w14:textId="77777777" w:rsidR="00A5657B" w:rsidRPr="00C1093F" w:rsidRDefault="00A5657B" w:rsidP="000532A5">
            <w:pPr>
              <w:pStyle w:val="TableParagraph"/>
              <w:spacing w:before="120" w:after="120"/>
              <w:ind w:left="108"/>
              <w:rPr>
                <w:rFonts w:ascii="Arial" w:eastAsia="Arial" w:hAnsi="Arial" w:cs="Arial"/>
                <w:b/>
              </w:rPr>
            </w:pPr>
            <w:r w:rsidRPr="00C1093F">
              <w:rPr>
                <w:rFonts w:ascii="Arial" w:eastAsia="Arial" w:hAnsi="Arial" w:cs="Arial"/>
                <w:b/>
              </w:rPr>
              <w:t>Mailing address</w:t>
            </w:r>
          </w:p>
          <w:p w14:paraId="21BAB896" w14:textId="77777777" w:rsidR="00A5657B" w:rsidRDefault="00A5657B" w:rsidP="000532A5">
            <w:pPr>
              <w:pStyle w:val="TableParagraph"/>
              <w:spacing w:before="120" w:after="120"/>
              <w:ind w:left="108"/>
              <w:rPr>
                <w:rFonts w:ascii="Arial" w:eastAsia="Arial" w:hAnsi="Arial" w:cs="Arial"/>
              </w:rPr>
            </w:pPr>
            <w:r>
              <w:rPr>
                <w:rFonts w:ascii="Arial" w:eastAsia="Arial" w:hAnsi="Arial" w:cs="Arial"/>
              </w:rPr>
              <w:t>GPO Box 1425</w:t>
            </w:r>
          </w:p>
          <w:p w14:paraId="13480718" w14:textId="77777777" w:rsidR="00A5657B" w:rsidRDefault="00A5657B" w:rsidP="000532A5">
            <w:pPr>
              <w:pStyle w:val="TableParagraph"/>
              <w:spacing w:before="120" w:after="120"/>
              <w:ind w:left="108"/>
              <w:rPr>
                <w:rFonts w:ascii="Arial" w:eastAsia="Arial" w:hAnsi="Arial" w:cs="Arial"/>
              </w:rPr>
            </w:pPr>
            <w:r>
              <w:rPr>
                <w:rFonts w:ascii="Arial" w:eastAsia="Arial" w:hAnsi="Arial" w:cs="Arial"/>
              </w:rPr>
              <w:t>Mail Cluster 15.7</w:t>
            </w:r>
          </w:p>
          <w:p w14:paraId="4D44EAD3" w14:textId="77777777" w:rsidR="00A5657B" w:rsidRDefault="00A5657B" w:rsidP="00761D23">
            <w:pPr>
              <w:pStyle w:val="TableParagraph"/>
              <w:spacing w:before="120" w:after="120"/>
              <w:ind w:left="108"/>
              <w:rPr>
                <w:rFonts w:ascii="Arial" w:eastAsia="Arial" w:hAnsi="Arial" w:cs="Arial"/>
              </w:rPr>
            </w:pPr>
            <w:r>
              <w:rPr>
                <w:rFonts w:ascii="Arial" w:eastAsia="Arial" w:hAnsi="Arial" w:cs="Arial"/>
              </w:rPr>
              <w:t>Brisbane  Qld</w:t>
            </w:r>
            <w:r w:rsidR="00D91474" w:rsidRPr="00A91587">
              <w:rPr>
                <w:rFonts w:ascii="Arial" w:hAnsi="Arial" w:cs="Arial"/>
              </w:rPr>
              <w:t xml:space="preserve">  </w:t>
            </w:r>
            <w:r>
              <w:rPr>
                <w:rFonts w:ascii="Arial" w:eastAsia="Arial" w:hAnsi="Arial" w:cs="Arial"/>
              </w:rPr>
              <w:t>4001</w:t>
            </w:r>
          </w:p>
        </w:tc>
      </w:tr>
      <w:tr w:rsidR="00A5657B" w14:paraId="5FF98732" w14:textId="77777777" w:rsidTr="000A1ADD">
        <w:trPr>
          <w:trHeight w:hRule="exact" w:val="941"/>
        </w:trPr>
        <w:tc>
          <w:tcPr>
            <w:tcW w:w="9958" w:type="dxa"/>
            <w:tcBorders>
              <w:top w:val="nil"/>
              <w:left w:val="nil"/>
              <w:bottom w:val="nil"/>
              <w:right w:val="nil"/>
            </w:tcBorders>
            <w:shd w:val="clear" w:color="auto" w:fill="FEDADD" w:themeFill="accent5"/>
          </w:tcPr>
          <w:p w14:paraId="381FCC7C" w14:textId="77777777" w:rsidR="00A5657B" w:rsidRPr="00283111" w:rsidRDefault="00A5657B" w:rsidP="000532A5">
            <w:pPr>
              <w:pStyle w:val="TableParagraph"/>
              <w:spacing w:before="120" w:after="120"/>
              <w:ind w:left="108"/>
              <w:rPr>
                <w:rFonts w:ascii="Arial" w:eastAsia="Arial" w:hAnsi="Arial" w:cs="Arial"/>
                <w:b/>
              </w:rPr>
            </w:pPr>
            <w:r w:rsidRPr="00283111">
              <w:rPr>
                <w:rFonts w:ascii="Arial"/>
                <w:b/>
              </w:rPr>
              <w:t>Telephone</w:t>
            </w:r>
            <w:r w:rsidRPr="00283111">
              <w:rPr>
                <w:rFonts w:ascii="Arial"/>
                <w:b/>
                <w:spacing w:val="-8"/>
              </w:rPr>
              <w:t xml:space="preserve"> </w:t>
            </w:r>
            <w:r w:rsidRPr="00283111">
              <w:rPr>
                <w:rFonts w:ascii="Arial"/>
                <w:b/>
              </w:rPr>
              <w:t>contact</w:t>
            </w:r>
          </w:p>
          <w:p w14:paraId="36F494B4" w14:textId="611EB652" w:rsidR="00A5657B" w:rsidRPr="00B4291C" w:rsidRDefault="0049440E" w:rsidP="00C24ACD">
            <w:pPr>
              <w:pStyle w:val="TableParagraph"/>
              <w:spacing w:before="120" w:after="120"/>
              <w:ind w:left="108"/>
              <w:rPr>
                <w:rFonts w:ascii="Arial" w:eastAsia="Arial" w:hAnsi="Arial" w:cs="Arial"/>
              </w:rPr>
            </w:pPr>
            <w:r w:rsidRPr="00B4291C">
              <w:rPr>
                <w:rFonts w:ascii="Arial" w:hAnsi="Arial" w:cs="Arial"/>
              </w:rPr>
              <w:t>(07) 3029 8813</w:t>
            </w:r>
          </w:p>
        </w:tc>
      </w:tr>
      <w:tr w:rsidR="00A5657B" w14:paraId="429B5499" w14:textId="77777777" w:rsidTr="000A1ADD">
        <w:trPr>
          <w:trHeight w:hRule="exact" w:val="1304"/>
        </w:trPr>
        <w:tc>
          <w:tcPr>
            <w:tcW w:w="9958" w:type="dxa"/>
            <w:tcBorders>
              <w:top w:val="nil"/>
              <w:left w:val="nil"/>
              <w:bottom w:val="nil"/>
              <w:right w:val="nil"/>
            </w:tcBorders>
          </w:tcPr>
          <w:p w14:paraId="02C45FC9" w14:textId="77777777" w:rsidR="00A5657B" w:rsidRDefault="00A5657B" w:rsidP="000532A5">
            <w:pPr>
              <w:pStyle w:val="TableParagraph"/>
              <w:spacing w:before="120" w:after="120"/>
              <w:ind w:left="108"/>
              <w:rPr>
                <w:rFonts w:ascii="Arial" w:eastAsia="Arial" w:hAnsi="Arial" w:cs="Arial"/>
              </w:rPr>
            </w:pPr>
          </w:p>
        </w:tc>
      </w:tr>
      <w:tr w:rsidR="00A5657B" w14:paraId="695D90E7" w14:textId="77777777" w:rsidTr="000A1ADD">
        <w:trPr>
          <w:trHeight w:hRule="exact" w:val="1134"/>
        </w:trPr>
        <w:tc>
          <w:tcPr>
            <w:tcW w:w="9958" w:type="dxa"/>
            <w:tcBorders>
              <w:top w:val="nil"/>
              <w:left w:val="nil"/>
              <w:bottom w:val="nil"/>
              <w:right w:val="nil"/>
            </w:tcBorders>
          </w:tcPr>
          <w:p w14:paraId="5C093C5D" w14:textId="77777777" w:rsidR="00A5657B" w:rsidRDefault="00A5657B" w:rsidP="000532A5">
            <w:pPr>
              <w:pStyle w:val="TableParagraph"/>
              <w:spacing w:before="120" w:after="120"/>
              <w:ind w:left="108" w:right="918"/>
              <w:rPr>
                <w:rFonts w:ascii="Arial" w:eastAsia="Arial" w:hAnsi="Arial" w:cs="Arial"/>
              </w:rPr>
            </w:pPr>
          </w:p>
        </w:tc>
      </w:tr>
    </w:tbl>
    <w:p w14:paraId="458CD4F2" w14:textId="77777777" w:rsidR="00CE2048" w:rsidRDefault="00CE2048" w:rsidP="00CE2048">
      <w:pPr>
        <w:rPr>
          <w:rFonts w:eastAsia="Calibri"/>
          <w:szCs w:val="22"/>
        </w:rPr>
        <w:sectPr w:rsidR="00CE2048" w:rsidSect="00D74385">
          <w:headerReference w:type="even" r:id="rId85"/>
          <w:headerReference w:type="default" r:id="rId86"/>
          <w:headerReference w:type="first" r:id="rId87"/>
          <w:pgSz w:w="11907" w:h="16840" w:code="9"/>
          <w:pgMar w:top="720" w:right="1134" w:bottom="720" w:left="1134" w:header="567" w:footer="567" w:gutter="0"/>
          <w:pgNumType w:start="1"/>
          <w:cols w:space="720"/>
          <w:docGrid w:linePitch="360"/>
        </w:sectPr>
      </w:pPr>
    </w:p>
    <w:p w14:paraId="46D21863" w14:textId="063504AF" w:rsidR="007621B8" w:rsidRPr="00341581" w:rsidRDefault="007621B8" w:rsidP="00CE2048">
      <w:pPr>
        <w:rPr>
          <w:rFonts w:eastAsia="Calibri"/>
          <w:szCs w:val="22"/>
        </w:rPr>
      </w:pPr>
    </w:p>
    <w:sectPr w:rsidR="007621B8" w:rsidRPr="00341581" w:rsidSect="00D74385">
      <w:headerReference w:type="even" r:id="rId88"/>
      <w:headerReference w:type="default" r:id="rId89"/>
      <w:footerReference w:type="default" r:id="rId90"/>
      <w:headerReference w:type="first" r:id="rId91"/>
      <w:pgSz w:w="11907" w:h="16840" w:code="9"/>
      <w:pgMar w:top="0" w:right="249" w:bottom="0" w:left="249" w:header="0" w:footer="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93A885" w14:textId="77777777" w:rsidR="00CE542E" w:rsidRDefault="00CE542E">
      <w:pPr>
        <w:spacing w:after="0"/>
      </w:pPr>
      <w:r>
        <w:separator/>
      </w:r>
    </w:p>
  </w:endnote>
  <w:endnote w:type="continuationSeparator" w:id="0">
    <w:p w14:paraId="65A64522" w14:textId="77777777" w:rsidR="00CE542E" w:rsidRDefault="00CE542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B3DFE2" w14:textId="77777777" w:rsidR="00CE542E" w:rsidRDefault="00CE54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7A2AD" w14:textId="77777777" w:rsidR="00CE542E" w:rsidRPr="001B7342" w:rsidRDefault="00CE542E" w:rsidP="00831B88">
    <w:pPr>
      <w:pStyle w:val="Footer"/>
      <w:pBdr>
        <w:top w:val="none" w:sz="0" w:space="0" w:color="auto"/>
        <w:left w:val="none" w:sz="0" w:space="0" w:color="auto"/>
      </w:pBdr>
      <w:jc w:val="center"/>
      <w:rPr>
        <w:sz w:val="18"/>
        <w:szCs w:val="18"/>
      </w:rPr>
    </w:pPr>
    <w:r w:rsidRPr="001B7342">
      <w:rPr>
        <w:sz w:val="18"/>
        <w:szCs w:val="18"/>
      </w:rPr>
      <w:fldChar w:fldCharType="begin"/>
    </w:r>
    <w:r w:rsidRPr="001B7342">
      <w:rPr>
        <w:sz w:val="18"/>
        <w:szCs w:val="18"/>
      </w:rPr>
      <w:instrText xml:space="preserve"> PAGE   \* MERGEFORMAT </w:instrText>
    </w:r>
    <w:r w:rsidRPr="001B7342">
      <w:rPr>
        <w:sz w:val="18"/>
        <w:szCs w:val="18"/>
      </w:rPr>
      <w:fldChar w:fldCharType="separate"/>
    </w:r>
    <w:r w:rsidR="006F2417">
      <w:rPr>
        <w:noProof/>
        <w:sz w:val="18"/>
        <w:szCs w:val="18"/>
      </w:rPr>
      <w:t>23</w:t>
    </w:r>
    <w:r w:rsidRPr="001B7342">
      <w:rPr>
        <w:noProof/>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4AB33" w14:textId="77777777" w:rsidR="00CE542E" w:rsidRDefault="00CE542E" w:rsidP="00831B88">
    <w:pPr>
      <w:pStyle w:val="Footer"/>
      <w:pBdr>
        <w:top w:val="none" w:sz="0" w:space="0" w:color="auto"/>
        <w:left w:val="none" w:sz="0" w:space="0" w:color="auto"/>
      </w:pBd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6751642"/>
      <w:docPartObj>
        <w:docPartGallery w:val="Page Numbers (Bottom of Page)"/>
        <w:docPartUnique/>
      </w:docPartObj>
    </w:sdtPr>
    <w:sdtEndPr>
      <w:rPr>
        <w:noProof/>
      </w:rPr>
    </w:sdtEndPr>
    <w:sdtContent>
      <w:p w14:paraId="1A65F336" w14:textId="77777777" w:rsidR="00CE542E" w:rsidRDefault="00CE542E">
        <w:pPr>
          <w:pStyle w:val="Footer"/>
          <w:jc w:val="center"/>
        </w:pPr>
        <w:r>
          <w:fldChar w:fldCharType="begin"/>
        </w:r>
        <w:r>
          <w:instrText xml:space="preserve"> PAGE   \* MERGEFORMAT </w:instrText>
        </w:r>
        <w:r>
          <w:fldChar w:fldCharType="separate"/>
        </w:r>
        <w:r>
          <w:rPr>
            <w:noProof/>
          </w:rPr>
          <w:t>lxvii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8011590"/>
      <w:docPartObj>
        <w:docPartGallery w:val="Page Numbers (Bottom of Page)"/>
        <w:docPartUnique/>
      </w:docPartObj>
    </w:sdtPr>
    <w:sdtEndPr>
      <w:rPr>
        <w:noProof/>
        <w:sz w:val="18"/>
        <w:szCs w:val="18"/>
      </w:rPr>
    </w:sdtEndPr>
    <w:sdtContent>
      <w:p w14:paraId="530D1F1B" w14:textId="6654AB99" w:rsidR="00CE542E" w:rsidRPr="001B7342" w:rsidRDefault="00CE542E" w:rsidP="003D477C">
        <w:pPr>
          <w:pStyle w:val="Footer"/>
          <w:pBdr>
            <w:top w:val="none" w:sz="0" w:space="0" w:color="auto"/>
            <w:left w:val="none" w:sz="0" w:space="0" w:color="auto"/>
          </w:pBdr>
          <w:jc w:val="center"/>
          <w:rPr>
            <w:noProof/>
            <w:sz w:val="18"/>
            <w:szCs w:val="18"/>
          </w:rPr>
        </w:pPr>
        <w:r>
          <w:rPr>
            <w:noProof/>
            <w:lang w:val="en-AU" w:eastAsia="en-AU"/>
          </w:rPr>
          <w:drawing>
            <wp:inline distT="0" distB="0" distL="0" distR="0" wp14:anchorId="5947F7BB" wp14:editId="25F2ADD6">
              <wp:extent cx="7456170" cy="8837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C5770 PSBA Annual Report FOOTER 2016-17.png"/>
                      <pic:cNvPicPr/>
                    </pic:nvPicPr>
                    <pic:blipFill>
                      <a:blip r:embed="rId1">
                        <a:extLst>
                          <a:ext uri="{28A0092B-C50C-407E-A947-70E740481C1C}">
                            <a14:useLocalDpi xmlns:a14="http://schemas.microsoft.com/office/drawing/2010/main" val="0"/>
                          </a:ext>
                        </a:extLst>
                      </a:blip>
                      <a:stretch>
                        <a:fillRect/>
                      </a:stretch>
                    </pic:blipFill>
                    <pic:spPr>
                      <a:xfrm>
                        <a:off x="0" y="0"/>
                        <a:ext cx="7456170" cy="883717"/>
                      </a:xfrm>
                      <a:prstGeom prst="rect">
                        <a:avLst/>
                      </a:prstGeom>
                    </pic:spPr>
                  </pic:pic>
                </a:graphicData>
              </a:graphic>
            </wp:inline>
          </w:drawing>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16203" w14:textId="77777777" w:rsidR="00CE542E" w:rsidRDefault="00CE542E">
      <w:pPr>
        <w:spacing w:after="0"/>
      </w:pPr>
      <w:r>
        <w:separator/>
      </w:r>
    </w:p>
  </w:footnote>
  <w:footnote w:type="continuationSeparator" w:id="0">
    <w:p w14:paraId="69934C67" w14:textId="77777777" w:rsidR="00CE542E" w:rsidRDefault="00CE542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22CC6B" w14:textId="1DC66A4B" w:rsidR="00CE542E" w:rsidRPr="003B3B4A" w:rsidRDefault="00CE542E" w:rsidP="00F338E8">
    <w:pPr>
      <w:pStyle w:val="Header"/>
      <w:jc w:val="right"/>
      <w:rPr>
        <w:sz w:val="18"/>
        <w:szCs w:val="18"/>
      </w:rPr>
    </w:pPr>
    <w:r w:rsidRPr="001902A4">
      <w:t>201</w:t>
    </w:r>
    <w:r>
      <w:t>5</w:t>
    </w:r>
    <w:r w:rsidRPr="001902A4">
      <w:t>–1</w:t>
    </w:r>
    <w:r>
      <w:t>6</w:t>
    </w:r>
    <w:r w:rsidRPr="001902A4">
      <w:t xml:space="preserve"> Annual Report</w:t>
    </w:r>
  </w:p>
  <w:p w14:paraId="3708FDF6" w14:textId="77777777" w:rsidR="00CE542E" w:rsidRPr="003B3B4A" w:rsidRDefault="00CE542E" w:rsidP="00F338E8">
    <w:pPr>
      <w:pStyle w:val="Header"/>
      <w:jc w:val="right"/>
      <w:rPr>
        <w:sz w:val="18"/>
        <w:szCs w:val="18"/>
      </w:rPr>
    </w:pPr>
  </w:p>
  <w:p w14:paraId="6F039F14" w14:textId="77777777" w:rsidR="00CE542E" w:rsidRPr="003B3B4A" w:rsidRDefault="00CE542E" w:rsidP="00F338E8">
    <w:pPr>
      <w:pStyle w:val="Header"/>
      <w:jc w:val="right"/>
      <w:rPr>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D66BE" w14:textId="7F9006AD" w:rsidR="00CE542E" w:rsidRDefault="00CE542E">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C25F7" w14:textId="535D0DB6" w:rsidR="00CE542E" w:rsidRPr="00CE2048" w:rsidRDefault="00CE542E" w:rsidP="00CE2048">
    <w:pPr>
      <w:pStyle w:val="Header"/>
      <w:ind w:left="-249"/>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E46862" w14:textId="12E8945A" w:rsidR="00CE542E" w:rsidRDefault="00CE542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F4334" w14:textId="5FE86F0C" w:rsidR="00CE542E" w:rsidRPr="00EA07C1" w:rsidRDefault="00CE542E" w:rsidP="00F338E8">
    <w:pPr>
      <w:pStyle w:val="Header"/>
      <w:jc w:val="right"/>
      <w:rPr>
        <w:sz w:val="18"/>
      </w:rPr>
    </w:pPr>
    <w:r w:rsidRPr="00EA07C1">
      <w:rPr>
        <w:sz w:val="18"/>
      </w:rPr>
      <w:t>2015–16 Annual Report</w:t>
    </w:r>
  </w:p>
  <w:p w14:paraId="2CA1F18A" w14:textId="77777777" w:rsidR="00CE542E" w:rsidRDefault="00CE542E" w:rsidP="00F338E8">
    <w:pPr>
      <w:pStyle w:val="Header"/>
      <w:jc w:val="right"/>
      <w:rPr>
        <w:sz w:val="18"/>
      </w:rPr>
    </w:pPr>
    <w:r w:rsidRPr="00313CF1">
      <w:rPr>
        <w:sz w:val="18"/>
        <w:highlight w:val="yellow"/>
      </w:rPr>
      <w:t>&lt;Agency name&gt;</w:t>
    </w:r>
  </w:p>
  <w:p w14:paraId="5BBC1831" w14:textId="77777777" w:rsidR="00CE542E" w:rsidRPr="00EA07C1" w:rsidRDefault="00CE542E" w:rsidP="00F338E8">
    <w:pPr>
      <w:pStyle w:val="Header"/>
      <w:jc w:val="right"/>
      <w:rPr>
        <w:sz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5C9DA" w14:textId="4931FD12" w:rsidR="00CE542E" w:rsidRPr="00EA07C1" w:rsidRDefault="00CE542E" w:rsidP="00CE2048">
    <w:pPr>
      <w:pStyle w:val="Header"/>
      <w:ind w:left="-238" w:right="-194"/>
      <w:jc w:val="right"/>
      <w:rPr>
        <w:sz w:val="18"/>
        <w:lang w:val="en-AU"/>
      </w:rPr>
    </w:pPr>
    <w:r>
      <w:rPr>
        <w:noProof/>
        <w:lang w:val="en-AU" w:eastAsia="en-AU"/>
      </w:rPr>
      <w:drawing>
        <wp:anchor distT="0" distB="0" distL="114300" distR="114300" simplePos="0" relativeHeight="251683840" behindDoc="1" locked="0" layoutInCell="1" allowOverlap="1" wp14:anchorId="51D22E09" wp14:editId="5F156BE3">
          <wp:simplePos x="0" y="0"/>
          <wp:positionH relativeFrom="column">
            <wp:posOffset>-133350</wp:posOffset>
          </wp:positionH>
          <wp:positionV relativeFrom="paragraph">
            <wp:posOffset>0</wp:posOffset>
          </wp:positionV>
          <wp:extent cx="7560000" cy="10692000"/>
          <wp:effectExtent l="0" t="0" r="317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PC5770 IGEM Annual Report cover 2016-17 COLOUR.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mc:AlternateContent>
        <mc:Choice Requires="wps">
          <w:drawing>
            <wp:anchor distT="0" distB="0" distL="114300" distR="114300" simplePos="0" relativeHeight="251681792" behindDoc="0" locked="0" layoutInCell="1" allowOverlap="1" wp14:anchorId="248DFC14" wp14:editId="6E60D3DB">
              <wp:simplePos x="0" y="0"/>
              <wp:positionH relativeFrom="column">
                <wp:posOffset>5550535</wp:posOffset>
              </wp:positionH>
              <wp:positionV relativeFrom="paragraph">
                <wp:posOffset>-3175</wp:posOffset>
              </wp:positionV>
              <wp:extent cx="2891790" cy="56578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2891790" cy="565785"/>
                      </a:xfrm>
                      <a:prstGeom prst="rect">
                        <a:avLst/>
                      </a:prstGeom>
                      <a:noFill/>
                      <a:ln>
                        <a:noFill/>
                      </a:ln>
                      <a:effectLst/>
                    </wps:spPr>
                    <wps:txbx>
                      <w:txbxContent>
                        <w:p w14:paraId="6A960120" w14:textId="77777777" w:rsidR="00CE542E" w:rsidRPr="00931992" w:rsidRDefault="00CE542E" w:rsidP="00931992">
                          <w:pPr>
                            <w:jc w:val="center"/>
                            <w:rPr>
                              <w:b/>
                              <w:color w:val="AB054C" w:themeColor="accent3"/>
                              <w:spacing w:val="40"/>
                              <w:sz w:val="2"/>
                              <w:szCs w:val="7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48DFC14" id="_x0000_t202" coordsize="21600,21600" o:spt="202" path="m,l,21600r21600,l21600,xe">
              <v:stroke joinstyle="miter"/>
              <v:path gradientshapeok="t" o:connecttype="rect"/>
            </v:shapetype>
            <v:shape id="Text Box 226" o:spid="_x0000_s1042" type="#_x0000_t202" style="position:absolute;left:0;text-align:left;margin-left:437.05pt;margin-top:-.25pt;width:227.7pt;height:44.5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" filled="f" stroked="f">
              <v:textbox style="mso-fit-shape-to-text:t">
                <w:txbxContent>
                  <w:p w14:paraId="6A960120" w14:textId="77777777" w:rsidR="00CE542E" w:rsidRPr="00931992" w:rsidRDefault="00CE542E" w:rsidP="00931992">
                    <w:pPr>
                      <w:jc w:val="center"/>
                      <w:rPr>
                        <w:b/>
                        <w:color w:val="AB054C" w:themeColor="accent3"/>
                        <w:spacing w:val="40"/>
                        <w:sz w:val="2"/>
                        <w:szCs w:val="7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1A667" w14:textId="5995F07C" w:rsidR="00CE542E" w:rsidRDefault="00CE542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6E9D1E" w14:textId="6837A747" w:rsidR="00CE542E" w:rsidRDefault="00CE542E" w:rsidP="000533A2">
    <w:pPr>
      <w:pStyle w:val="Header"/>
      <w:tabs>
        <w:tab w:val="left" w:pos="6690"/>
        <w:tab w:val="right" w:pos="10142"/>
      </w:tabs>
      <w:jc w:val="right"/>
      <w:rPr>
        <w:sz w:val="18"/>
      </w:rPr>
    </w:pPr>
    <w:r>
      <w:rPr>
        <w:sz w:val="18"/>
      </w:rPr>
      <w:t>2</w:t>
    </w:r>
    <w:r w:rsidRPr="00B34B8E">
      <w:rPr>
        <w:sz w:val="18"/>
      </w:rPr>
      <w:t>01</w:t>
    </w:r>
    <w:r>
      <w:rPr>
        <w:sz w:val="18"/>
      </w:rPr>
      <w:t>6</w:t>
    </w:r>
    <w:r w:rsidRPr="00B34B8E">
      <w:rPr>
        <w:sz w:val="18"/>
      </w:rPr>
      <w:t>-1</w:t>
    </w:r>
    <w:r>
      <w:rPr>
        <w:sz w:val="18"/>
      </w:rPr>
      <w:t>7</w:t>
    </w:r>
    <w:r w:rsidRPr="00B34B8E">
      <w:rPr>
        <w:sz w:val="18"/>
      </w:rPr>
      <w:t xml:space="preserve"> Annual Report</w:t>
    </w:r>
  </w:p>
  <w:p w14:paraId="5D8E7F2F" w14:textId="77777777" w:rsidR="00CE542E" w:rsidRDefault="00CE542E" w:rsidP="000532A5">
    <w:pPr>
      <w:pStyle w:val="Header"/>
      <w:tabs>
        <w:tab w:val="left" w:pos="6690"/>
        <w:tab w:val="right" w:pos="10142"/>
      </w:tabs>
      <w:jc w:val="right"/>
      <w:rPr>
        <w:sz w:val="18"/>
      </w:rPr>
    </w:pPr>
    <w:r w:rsidRPr="000532A5">
      <w:rPr>
        <w:sz w:val="18"/>
      </w:rPr>
      <w:t>Office of the Inspector-General Emergency Management</w:t>
    </w:r>
  </w:p>
  <w:p w14:paraId="3EB20E82" w14:textId="77777777" w:rsidR="00CE542E" w:rsidRPr="000532A5" w:rsidRDefault="00CE542E" w:rsidP="000532A5">
    <w:pPr>
      <w:pStyle w:val="Header"/>
      <w:tabs>
        <w:tab w:val="left" w:pos="6690"/>
        <w:tab w:val="right" w:pos="10142"/>
      </w:tabs>
      <w:jc w:val="right"/>
      <w:rPr>
        <w:sz w:val="1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3EEBFA" w14:textId="72F91B37" w:rsidR="00CE542E" w:rsidRDefault="00CE542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15F9" w14:textId="72F937DB" w:rsidR="00CE542E" w:rsidRDefault="00CE542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FF834" w14:textId="5DE0C4BE" w:rsidR="00CE542E" w:rsidRDefault="00CE542E" w:rsidP="006F055A">
    <w:pPr>
      <w:pStyle w:val="Header"/>
      <w:tabs>
        <w:tab w:val="left" w:pos="6690"/>
        <w:tab w:val="right" w:pos="10142"/>
      </w:tabs>
      <w:jc w:val="right"/>
      <w:rPr>
        <w:sz w:val="18"/>
      </w:rPr>
    </w:pPr>
    <w:r>
      <w:rPr>
        <w:sz w:val="18"/>
      </w:rPr>
      <w:t>2</w:t>
    </w:r>
    <w:r w:rsidRPr="00B34B8E">
      <w:rPr>
        <w:sz w:val="18"/>
      </w:rPr>
      <w:t>01</w:t>
    </w:r>
    <w:r>
      <w:rPr>
        <w:sz w:val="18"/>
      </w:rPr>
      <w:t>6</w:t>
    </w:r>
    <w:r w:rsidRPr="00B34B8E">
      <w:rPr>
        <w:sz w:val="18"/>
      </w:rPr>
      <w:t>-1</w:t>
    </w:r>
    <w:r>
      <w:rPr>
        <w:sz w:val="18"/>
      </w:rPr>
      <w:t>7</w:t>
    </w:r>
    <w:r w:rsidRPr="00B34B8E">
      <w:rPr>
        <w:sz w:val="18"/>
      </w:rPr>
      <w:t xml:space="preserve"> Annual Report</w:t>
    </w:r>
  </w:p>
  <w:p w14:paraId="1C519459" w14:textId="77777777" w:rsidR="00CE542E" w:rsidRDefault="00CE542E" w:rsidP="006F055A">
    <w:pPr>
      <w:pStyle w:val="Header"/>
      <w:tabs>
        <w:tab w:val="left" w:pos="6690"/>
        <w:tab w:val="right" w:pos="10142"/>
      </w:tabs>
      <w:jc w:val="right"/>
      <w:rPr>
        <w:sz w:val="18"/>
      </w:rPr>
    </w:pPr>
    <w:r>
      <w:rPr>
        <w:sz w:val="18"/>
      </w:rPr>
      <w:t>Office of the Inspector-General</w:t>
    </w:r>
    <w:r w:rsidRPr="000532A5">
      <w:rPr>
        <w:sz w:val="18"/>
      </w:rPr>
      <w:t xml:space="preserve"> Emergency Management</w:t>
    </w:r>
  </w:p>
  <w:p w14:paraId="00B4C951" w14:textId="77777777" w:rsidR="00CE542E" w:rsidRPr="00E25586" w:rsidRDefault="00CE542E" w:rsidP="006F055A">
    <w:pPr>
      <w:pStyle w:val="Header"/>
      <w:rPr>
        <w:sz w:val="1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B55E6" w14:textId="3A192DA7" w:rsidR="00CE542E" w:rsidRDefault="00CE542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8A002E" w:themeColor="accent1"/>
      </w:rPr>
    </w:lvl>
  </w:abstractNum>
  <w:abstractNum w:abstractNumId="5" w15:restartNumberingAfterBreak="0">
    <w:nsid w:val="01F07A55"/>
    <w:multiLevelType w:val="hybridMultilevel"/>
    <w:tmpl w:val="D8A6186A"/>
    <w:lvl w:ilvl="0" w:tplc="0C090001">
      <w:start w:val="1"/>
      <w:numFmt w:val="bullet"/>
      <w:lvlText w:val=""/>
      <w:lvlJc w:val="left"/>
      <w:pPr>
        <w:ind w:left="472" w:hanging="360"/>
      </w:pPr>
      <w:rPr>
        <w:rFonts w:ascii="Symbol" w:hAnsi="Symbol" w:hint="default"/>
      </w:rPr>
    </w:lvl>
    <w:lvl w:ilvl="1" w:tplc="0C090003" w:tentative="1">
      <w:start w:val="1"/>
      <w:numFmt w:val="bullet"/>
      <w:lvlText w:val="o"/>
      <w:lvlJc w:val="left"/>
      <w:pPr>
        <w:ind w:left="1192" w:hanging="360"/>
      </w:pPr>
      <w:rPr>
        <w:rFonts w:ascii="Courier New" w:hAnsi="Courier New" w:cs="Courier New" w:hint="default"/>
      </w:rPr>
    </w:lvl>
    <w:lvl w:ilvl="2" w:tplc="0C090005" w:tentative="1">
      <w:start w:val="1"/>
      <w:numFmt w:val="bullet"/>
      <w:lvlText w:val=""/>
      <w:lvlJc w:val="left"/>
      <w:pPr>
        <w:ind w:left="1912" w:hanging="360"/>
      </w:pPr>
      <w:rPr>
        <w:rFonts w:ascii="Wingdings" w:hAnsi="Wingdings" w:hint="default"/>
      </w:rPr>
    </w:lvl>
    <w:lvl w:ilvl="3" w:tplc="0C090001" w:tentative="1">
      <w:start w:val="1"/>
      <w:numFmt w:val="bullet"/>
      <w:lvlText w:val=""/>
      <w:lvlJc w:val="left"/>
      <w:pPr>
        <w:ind w:left="2632" w:hanging="360"/>
      </w:pPr>
      <w:rPr>
        <w:rFonts w:ascii="Symbol" w:hAnsi="Symbol" w:hint="default"/>
      </w:rPr>
    </w:lvl>
    <w:lvl w:ilvl="4" w:tplc="0C090003" w:tentative="1">
      <w:start w:val="1"/>
      <w:numFmt w:val="bullet"/>
      <w:lvlText w:val="o"/>
      <w:lvlJc w:val="left"/>
      <w:pPr>
        <w:ind w:left="3352" w:hanging="360"/>
      </w:pPr>
      <w:rPr>
        <w:rFonts w:ascii="Courier New" w:hAnsi="Courier New" w:cs="Courier New" w:hint="default"/>
      </w:rPr>
    </w:lvl>
    <w:lvl w:ilvl="5" w:tplc="0C090005" w:tentative="1">
      <w:start w:val="1"/>
      <w:numFmt w:val="bullet"/>
      <w:lvlText w:val=""/>
      <w:lvlJc w:val="left"/>
      <w:pPr>
        <w:ind w:left="4072" w:hanging="360"/>
      </w:pPr>
      <w:rPr>
        <w:rFonts w:ascii="Wingdings" w:hAnsi="Wingdings" w:hint="default"/>
      </w:rPr>
    </w:lvl>
    <w:lvl w:ilvl="6" w:tplc="0C090001" w:tentative="1">
      <w:start w:val="1"/>
      <w:numFmt w:val="bullet"/>
      <w:lvlText w:val=""/>
      <w:lvlJc w:val="left"/>
      <w:pPr>
        <w:ind w:left="4792" w:hanging="360"/>
      </w:pPr>
      <w:rPr>
        <w:rFonts w:ascii="Symbol" w:hAnsi="Symbol" w:hint="default"/>
      </w:rPr>
    </w:lvl>
    <w:lvl w:ilvl="7" w:tplc="0C090003" w:tentative="1">
      <w:start w:val="1"/>
      <w:numFmt w:val="bullet"/>
      <w:lvlText w:val="o"/>
      <w:lvlJc w:val="left"/>
      <w:pPr>
        <w:ind w:left="5512" w:hanging="360"/>
      </w:pPr>
      <w:rPr>
        <w:rFonts w:ascii="Courier New" w:hAnsi="Courier New" w:cs="Courier New" w:hint="default"/>
      </w:rPr>
    </w:lvl>
    <w:lvl w:ilvl="8" w:tplc="0C090005" w:tentative="1">
      <w:start w:val="1"/>
      <w:numFmt w:val="bullet"/>
      <w:lvlText w:val=""/>
      <w:lvlJc w:val="left"/>
      <w:pPr>
        <w:ind w:left="6232" w:hanging="360"/>
      </w:pPr>
      <w:rPr>
        <w:rFonts w:ascii="Wingdings" w:hAnsi="Wingdings" w:hint="default"/>
      </w:rPr>
    </w:lvl>
  </w:abstractNum>
  <w:abstractNum w:abstractNumId="6" w15:restartNumberingAfterBreak="0">
    <w:nsid w:val="021B6483"/>
    <w:multiLevelType w:val="hybridMultilevel"/>
    <w:tmpl w:val="A69C22C0"/>
    <w:lvl w:ilvl="0" w:tplc="AA0AB30A">
      <w:start w:val="1"/>
      <w:numFmt w:val="bullet"/>
      <w:lvlText w:val=""/>
      <w:lvlJc w:val="left"/>
      <w:pPr>
        <w:ind w:left="355" w:hanging="252"/>
      </w:pPr>
      <w:rPr>
        <w:rFonts w:ascii="Symbol" w:eastAsia="Symbol" w:hAnsi="Symbol" w:hint="default"/>
        <w:w w:val="100"/>
        <w:sz w:val="18"/>
        <w:szCs w:val="18"/>
      </w:rPr>
    </w:lvl>
    <w:lvl w:ilvl="1" w:tplc="2C38A5BE">
      <w:start w:val="1"/>
      <w:numFmt w:val="bullet"/>
      <w:lvlText w:val="•"/>
      <w:lvlJc w:val="left"/>
      <w:pPr>
        <w:ind w:left="634" w:hanging="252"/>
      </w:pPr>
      <w:rPr>
        <w:rFonts w:hint="default"/>
      </w:rPr>
    </w:lvl>
    <w:lvl w:ilvl="2" w:tplc="183AB534">
      <w:start w:val="1"/>
      <w:numFmt w:val="bullet"/>
      <w:lvlText w:val="•"/>
      <w:lvlJc w:val="left"/>
      <w:pPr>
        <w:ind w:left="909" w:hanging="252"/>
      </w:pPr>
      <w:rPr>
        <w:rFonts w:hint="default"/>
      </w:rPr>
    </w:lvl>
    <w:lvl w:ilvl="3" w:tplc="2CB8ED9C">
      <w:start w:val="1"/>
      <w:numFmt w:val="bullet"/>
      <w:lvlText w:val="•"/>
      <w:lvlJc w:val="left"/>
      <w:pPr>
        <w:ind w:left="1184" w:hanging="252"/>
      </w:pPr>
      <w:rPr>
        <w:rFonts w:hint="default"/>
      </w:rPr>
    </w:lvl>
    <w:lvl w:ilvl="4" w:tplc="2C8416E8">
      <w:start w:val="1"/>
      <w:numFmt w:val="bullet"/>
      <w:lvlText w:val="•"/>
      <w:lvlJc w:val="left"/>
      <w:pPr>
        <w:ind w:left="1459" w:hanging="252"/>
      </w:pPr>
      <w:rPr>
        <w:rFonts w:hint="default"/>
      </w:rPr>
    </w:lvl>
    <w:lvl w:ilvl="5" w:tplc="1E807CD2">
      <w:start w:val="1"/>
      <w:numFmt w:val="bullet"/>
      <w:lvlText w:val="•"/>
      <w:lvlJc w:val="left"/>
      <w:pPr>
        <w:ind w:left="1734" w:hanging="252"/>
      </w:pPr>
      <w:rPr>
        <w:rFonts w:hint="default"/>
      </w:rPr>
    </w:lvl>
    <w:lvl w:ilvl="6" w:tplc="05563572">
      <w:start w:val="1"/>
      <w:numFmt w:val="bullet"/>
      <w:lvlText w:val="•"/>
      <w:lvlJc w:val="left"/>
      <w:pPr>
        <w:ind w:left="2008" w:hanging="252"/>
      </w:pPr>
      <w:rPr>
        <w:rFonts w:hint="default"/>
      </w:rPr>
    </w:lvl>
    <w:lvl w:ilvl="7" w:tplc="CBD2EF7A">
      <w:start w:val="1"/>
      <w:numFmt w:val="bullet"/>
      <w:lvlText w:val="•"/>
      <w:lvlJc w:val="left"/>
      <w:pPr>
        <w:ind w:left="2283" w:hanging="252"/>
      </w:pPr>
      <w:rPr>
        <w:rFonts w:hint="default"/>
      </w:rPr>
    </w:lvl>
    <w:lvl w:ilvl="8" w:tplc="AA82BB1C">
      <w:start w:val="1"/>
      <w:numFmt w:val="bullet"/>
      <w:lvlText w:val="•"/>
      <w:lvlJc w:val="left"/>
      <w:pPr>
        <w:ind w:left="2558" w:hanging="252"/>
      </w:pPr>
      <w:rPr>
        <w:rFonts w:hint="default"/>
      </w:rPr>
    </w:lvl>
  </w:abstractNum>
  <w:abstractNum w:abstractNumId="7" w15:restartNumberingAfterBreak="0">
    <w:nsid w:val="02C437E9"/>
    <w:multiLevelType w:val="hybridMultilevel"/>
    <w:tmpl w:val="5EB0F4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 w15:restartNumberingAfterBreak="0">
    <w:nsid w:val="0CB10ED8"/>
    <w:multiLevelType w:val="hybridMultilevel"/>
    <w:tmpl w:val="61BCF4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066FFB"/>
    <w:multiLevelType w:val="hybridMultilevel"/>
    <w:tmpl w:val="688897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48D0BCE"/>
    <w:multiLevelType w:val="hybridMultilevel"/>
    <w:tmpl w:val="2FF65C38"/>
    <w:lvl w:ilvl="0" w:tplc="64E06966">
      <w:start w:val="1"/>
      <w:numFmt w:val="bullet"/>
      <w:lvlText w:val=""/>
      <w:lvlJc w:val="left"/>
      <w:pPr>
        <w:ind w:left="472" w:hanging="361"/>
      </w:pPr>
      <w:rPr>
        <w:rFonts w:ascii="Symbol" w:eastAsia="Symbol" w:hAnsi="Symbol" w:hint="default"/>
        <w:w w:val="100"/>
      </w:rPr>
    </w:lvl>
    <w:lvl w:ilvl="1" w:tplc="0466192C">
      <w:start w:val="1"/>
      <w:numFmt w:val="bullet"/>
      <w:lvlText w:val=""/>
      <w:lvlJc w:val="left"/>
      <w:pPr>
        <w:ind w:left="333" w:hanging="361"/>
      </w:pPr>
      <w:rPr>
        <w:rFonts w:ascii="Symbol" w:eastAsia="Symbol" w:hAnsi="Symbol" w:hint="default"/>
        <w:w w:val="100"/>
        <w:sz w:val="22"/>
        <w:szCs w:val="22"/>
      </w:rPr>
    </w:lvl>
    <w:lvl w:ilvl="2" w:tplc="073E56E6">
      <w:start w:val="1"/>
      <w:numFmt w:val="bullet"/>
      <w:lvlText w:val="•"/>
      <w:lvlJc w:val="left"/>
      <w:pPr>
        <w:ind w:left="580" w:hanging="361"/>
      </w:pPr>
      <w:rPr>
        <w:rFonts w:hint="default"/>
      </w:rPr>
    </w:lvl>
    <w:lvl w:ilvl="3" w:tplc="40462440">
      <w:start w:val="1"/>
      <w:numFmt w:val="bullet"/>
      <w:lvlText w:val="•"/>
      <w:lvlJc w:val="left"/>
      <w:pPr>
        <w:ind w:left="1810" w:hanging="361"/>
      </w:pPr>
      <w:rPr>
        <w:rFonts w:hint="default"/>
      </w:rPr>
    </w:lvl>
    <w:lvl w:ilvl="4" w:tplc="18302EB0">
      <w:start w:val="1"/>
      <w:numFmt w:val="bullet"/>
      <w:lvlText w:val="•"/>
      <w:lvlJc w:val="left"/>
      <w:pPr>
        <w:ind w:left="3041" w:hanging="361"/>
      </w:pPr>
      <w:rPr>
        <w:rFonts w:hint="default"/>
      </w:rPr>
    </w:lvl>
    <w:lvl w:ilvl="5" w:tplc="8668EAA4">
      <w:start w:val="1"/>
      <w:numFmt w:val="bullet"/>
      <w:lvlText w:val="•"/>
      <w:lvlJc w:val="left"/>
      <w:pPr>
        <w:ind w:left="4272" w:hanging="361"/>
      </w:pPr>
      <w:rPr>
        <w:rFonts w:hint="default"/>
      </w:rPr>
    </w:lvl>
    <w:lvl w:ilvl="6" w:tplc="2512A17C">
      <w:start w:val="1"/>
      <w:numFmt w:val="bullet"/>
      <w:lvlText w:val="•"/>
      <w:lvlJc w:val="left"/>
      <w:pPr>
        <w:ind w:left="5503" w:hanging="361"/>
      </w:pPr>
      <w:rPr>
        <w:rFonts w:hint="default"/>
      </w:rPr>
    </w:lvl>
    <w:lvl w:ilvl="7" w:tplc="8DD81D82">
      <w:start w:val="1"/>
      <w:numFmt w:val="bullet"/>
      <w:lvlText w:val="•"/>
      <w:lvlJc w:val="left"/>
      <w:pPr>
        <w:ind w:left="6734" w:hanging="361"/>
      </w:pPr>
      <w:rPr>
        <w:rFonts w:hint="default"/>
      </w:rPr>
    </w:lvl>
    <w:lvl w:ilvl="8" w:tplc="8D96519A">
      <w:start w:val="1"/>
      <w:numFmt w:val="bullet"/>
      <w:lvlText w:val="•"/>
      <w:lvlJc w:val="left"/>
      <w:pPr>
        <w:ind w:left="7964" w:hanging="361"/>
      </w:pPr>
      <w:rPr>
        <w:rFonts w:hint="default"/>
      </w:rPr>
    </w:lvl>
  </w:abstractNum>
  <w:abstractNum w:abstractNumId="11" w15:restartNumberingAfterBreak="0">
    <w:nsid w:val="17666834"/>
    <w:multiLevelType w:val="hybridMultilevel"/>
    <w:tmpl w:val="A63CFE0E"/>
    <w:lvl w:ilvl="0" w:tplc="09FC45C6">
      <w:start w:val="1"/>
      <w:numFmt w:val="bullet"/>
      <w:lvlText w:val=""/>
      <w:lvlJc w:val="left"/>
      <w:pPr>
        <w:ind w:left="355" w:hanging="252"/>
      </w:pPr>
      <w:rPr>
        <w:rFonts w:ascii="Symbol" w:eastAsia="Symbol" w:hAnsi="Symbol" w:hint="default"/>
        <w:w w:val="100"/>
        <w:sz w:val="18"/>
        <w:szCs w:val="18"/>
      </w:rPr>
    </w:lvl>
    <w:lvl w:ilvl="1" w:tplc="1EFACDB8">
      <w:start w:val="1"/>
      <w:numFmt w:val="bullet"/>
      <w:lvlText w:val="•"/>
      <w:lvlJc w:val="left"/>
      <w:pPr>
        <w:ind w:left="634" w:hanging="252"/>
      </w:pPr>
      <w:rPr>
        <w:rFonts w:hint="default"/>
      </w:rPr>
    </w:lvl>
    <w:lvl w:ilvl="2" w:tplc="B0869D52">
      <w:start w:val="1"/>
      <w:numFmt w:val="bullet"/>
      <w:lvlText w:val="•"/>
      <w:lvlJc w:val="left"/>
      <w:pPr>
        <w:ind w:left="909" w:hanging="252"/>
      </w:pPr>
      <w:rPr>
        <w:rFonts w:hint="default"/>
      </w:rPr>
    </w:lvl>
    <w:lvl w:ilvl="3" w:tplc="EB581EC2">
      <w:start w:val="1"/>
      <w:numFmt w:val="bullet"/>
      <w:lvlText w:val="•"/>
      <w:lvlJc w:val="left"/>
      <w:pPr>
        <w:ind w:left="1184" w:hanging="252"/>
      </w:pPr>
      <w:rPr>
        <w:rFonts w:hint="default"/>
      </w:rPr>
    </w:lvl>
    <w:lvl w:ilvl="4" w:tplc="798C72B4">
      <w:start w:val="1"/>
      <w:numFmt w:val="bullet"/>
      <w:lvlText w:val="•"/>
      <w:lvlJc w:val="left"/>
      <w:pPr>
        <w:ind w:left="1459" w:hanging="252"/>
      </w:pPr>
      <w:rPr>
        <w:rFonts w:hint="default"/>
      </w:rPr>
    </w:lvl>
    <w:lvl w:ilvl="5" w:tplc="F842B0F6">
      <w:start w:val="1"/>
      <w:numFmt w:val="bullet"/>
      <w:lvlText w:val="•"/>
      <w:lvlJc w:val="left"/>
      <w:pPr>
        <w:ind w:left="1734" w:hanging="252"/>
      </w:pPr>
      <w:rPr>
        <w:rFonts w:hint="default"/>
      </w:rPr>
    </w:lvl>
    <w:lvl w:ilvl="6" w:tplc="5E66F5E2">
      <w:start w:val="1"/>
      <w:numFmt w:val="bullet"/>
      <w:lvlText w:val="•"/>
      <w:lvlJc w:val="left"/>
      <w:pPr>
        <w:ind w:left="2008" w:hanging="252"/>
      </w:pPr>
      <w:rPr>
        <w:rFonts w:hint="default"/>
      </w:rPr>
    </w:lvl>
    <w:lvl w:ilvl="7" w:tplc="8378F2B6">
      <w:start w:val="1"/>
      <w:numFmt w:val="bullet"/>
      <w:lvlText w:val="•"/>
      <w:lvlJc w:val="left"/>
      <w:pPr>
        <w:ind w:left="2283" w:hanging="252"/>
      </w:pPr>
      <w:rPr>
        <w:rFonts w:hint="default"/>
      </w:rPr>
    </w:lvl>
    <w:lvl w:ilvl="8" w:tplc="C3D07A38">
      <w:start w:val="1"/>
      <w:numFmt w:val="bullet"/>
      <w:lvlText w:val="•"/>
      <w:lvlJc w:val="left"/>
      <w:pPr>
        <w:ind w:left="2558" w:hanging="252"/>
      </w:pPr>
      <w:rPr>
        <w:rFonts w:hint="default"/>
      </w:rPr>
    </w:lvl>
  </w:abstractNum>
  <w:abstractNum w:abstractNumId="12"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CE11ACC"/>
    <w:multiLevelType w:val="hybridMultilevel"/>
    <w:tmpl w:val="974828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EA438CD"/>
    <w:multiLevelType w:val="hybridMultilevel"/>
    <w:tmpl w:val="8E968B64"/>
    <w:lvl w:ilvl="0" w:tplc="DB587664">
      <w:start w:val="1"/>
      <w:numFmt w:val="bullet"/>
      <w:lvlText w:val="-"/>
      <w:lvlJc w:val="left"/>
      <w:pPr>
        <w:ind w:left="720" w:hanging="360"/>
      </w:pPr>
      <w:rPr>
        <w:rFonts w:ascii="Courier New" w:hAnsi="Courier New" w:hint="default"/>
      </w:rPr>
    </w:lvl>
    <w:lvl w:ilvl="1" w:tplc="DB587664">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EE4388E"/>
    <w:multiLevelType w:val="hybridMultilevel"/>
    <w:tmpl w:val="C18A64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20C643E"/>
    <w:multiLevelType w:val="hybridMultilevel"/>
    <w:tmpl w:val="D3667C4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7" w15:restartNumberingAfterBreak="0">
    <w:nsid w:val="27260E06"/>
    <w:multiLevelType w:val="hybridMultilevel"/>
    <w:tmpl w:val="53240FFE"/>
    <w:lvl w:ilvl="0" w:tplc="EA5EC08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BF4469"/>
    <w:multiLevelType w:val="hybridMultilevel"/>
    <w:tmpl w:val="7F38F68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9"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20" w15:restartNumberingAfterBreak="0">
    <w:nsid w:val="2DD212B9"/>
    <w:multiLevelType w:val="hybridMultilevel"/>
    <w:tmpl w:val="005E82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551EC0"/>
    <w:multiLevelType w:val="hybridMultilevel"/>
    <w:tmpl w:val="D178845C"/>
    <w:lvl w:ilvl="0" w:tplc="484264F4">
      <w:start w:val="1"/>
      <w:numFmt w:val="bullet"/>
      <w:lvlText w:val=""/>
      <w:lvlJc w:val="left"/>
      <w:pPr>
        <w:ind w:left="473" w:hanging="361"/>
      </w:pPr>
      <w:rPr>
        <w:rFonts w:ascii="Symbol" w:eastAsia="Symbol" w:hAnsi="Symbol" w:hint="default"/>
        <w:w w:val="100"/>
      </w:rPr>
    </w:lvl>
    <w:lvl w:ilvl="1" w:tplc="62526940">
      <w:start w:val="1"/>
      <w:numFmt w:val="bullet"/>
      <w:lvlText w:val="-"/>
      <w:lvlJc w:val="left"/>
      <w:pPr>
        <w:ind w:left="679" w:hanging="207"/>
      </w:pPr>
      <w:rPr>
        <w:rFonts w:ascii="Courier New" w:eastAsia="Courier New" w:hAnsi="Courier New" w:hint="default"/>
        <w:w w:val="100"/>
        <w:sz w:val="22"/>
        <w:szCs w:val="22"/>
      </w:rPr>
    </w:lvl>
    <w:lvl w:ilvl="2" w:tplc="52E696C4">
      <w:start w:val="1"/>
      <w:numFmt w:val="bullet"/>
      <w:lvlText w:val="•"/>
      <w:lvlJc w:val="left"/>
      <w:pPr>
        <w:ind w:left="1762" w:hanging="207"/>
      </w:pPr>
      <w:rPr>
        <w:rFonts w:hint="default"/>
      </w:rPr>
    </w:lvl>
    <w:lvl w:ilvl="3" w:tplc="51AA5062">
      <w:start w:val="1"/>
      <w:numFmt w:val="bullet"/>
      <w:lvlText w:val="•"/>
      <w:lvlJc w:val="left"/>
      <w:pPr>
        <w:ind w:left="2845" w:hanging="207"/>
      </w:pPr>
      <w:rPr>
        <w:rFonts w:hint="default"/>
      </w:rPr>
    </w:lvl>
    <w:lvl w:ilvl="4" w:tplc="46F47F3A">
      <w:start w:val="1"/>
      <w:numFmt w:val="bullet"/>
      <w:lvlText w:val="•"/>
      <w:lvlJc w:val="left"/>
      <w:pPr>
        <w:ind w:left="3928" w:hanging="207"/>
      </w:pPr>
      <w:rPr>
        <w:rFonts w:hint="default"/>
      </w:rPr>
    </w:lvl>
    <w:lvl w:ilvl="5" w:tplc="4A4EE790">
      <w:start w:val="1"/>
      <w:numFmt w:val="bullet"/>
      <w:lvlText w:val="•"/>
      <w:lvlJc w:val="left"/>
      <w:pPr>
        <w:ind w:left="5011" w:hanging="207"/>
      </w:pPr>
      <w:rPr>
        <w:rFonts w:hint="default"/>
      </w:rPr>
    </w:lvl>
    <w:lvl w:ilvl="6" w:tplc="12C8F3FC">
      <w:start w:val="1"/>
      <w:numFmt w:val="bullet"/>
      <w:lvlText w:val="•"/>
      <w:lvlJc w:val="left"/>
      <w:pPr>
        <w:ind w:left="6094" w:hanging="207"/>
      </w:pPr>
      <w:rPr>
        <w:rFonts w:hint="default"/>
      </w:rPr>
    </w:lvl>
    <w:lvl w:ilvl="7" w:tplc="C00C208C">
      <w:start w:val="1"/>
      <w:numFmt w:val="bullet"/>
      <w:lvlText w:val="•"/>
      <w:lvlJc w:val="left"/>
      <w:pPr>
        <w:ind w:left="7177" w:hanging="207"/>
      </w:pPr>
      <w:rPr>
        <w:rFonts w:hint="default"/>
      </w:rPr>
    </w:lvl>
    <w:lvl w:ilvl="8" w:tplc="FC5AAFF4">
      <w:start w:val="1"/>
      <w:numFmt w:val="bullet"/>
      <w:lvlText w:val="•"/>
      <w:lvlJc w:val="left"/>
      <w:pPr>
        <w:ind w:left="8260" w:hanging="207"/>
      </w:pPr>
      <w:rPr>
        <w:rFonts w:hint="default"/>
      </w:rPr>
    </w:lvl>
  </w:abstractNum>
  <w:abstractNum w:abstractNumId="22" w15:restartNumberingAfterBreak="0">
    <w:nsid w:val="2E82666B"/>
    <w:multiLevelType w:val="hybridMultilevel"/>
    <w:tmpl w:val="E4CADA5C"/>
    <w:lvl w:ilvl="0" w:tplc="DB587664">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4D92EB6"/>
    <w:multiLevelType w:val="hybridMultilevel"/>
    <w:tmpl w:val="991690AA"/>
    <w:lvl w:ilvl="0" w:tplc="910CF9E4">
      <w:start w:val="1"/>
      <w:numFmt w:val="bullet"/>
      <w:lvlText w:val=""/>
      <w:lvlJc w:val="left"/>
      <w:pPr>
        <w:ind w:left="2140" w:hanging="360"/>
      </w:pPr>
      <w:rPr>
        <w:rFonts w:ascii="Symbol" w:eastAsia="Symbol" w:hAnsi="Symbol" w:hint="default"/>
        <w:w w:val="100"/>
        <w:sz w:val="22"/>
        <w:szCs w:val="22"/>
      </w:rPr>
    </w:lvl>
    <w:lvl w:ilvl="1" w:tplc="0C090003" w:tentative="1">
      <w:start w:val="1"/>
      <w:numFmt w:val="bullet"/>
      <w:lvlText w:val="o"/>
      <w:lvlJc w:val="left"/>
      <w:pPr>
        <w:ind w:left="2860" w:hanging="360"/>
      </w:pPr>
      <w:rPr>
        <w:rFonts w:ascii="Courier New" w:hAnsi="Courier New" w:cs="Courier New" w:hint="default"/>
      </w:rPr>
    </w:lvl>
    <w:lvl w:ilvl="2" w:tplc="0C090005" w:tentative="1">
      <w:start w:val="1"/>
      <w:numFmt w:val="bullet"/>
      <w:lvlText w:val=""/>
      <w:lvlJc w:val="left"/>
      <w:pPr>
        <w:ind w:left="3580" w:hanging="360"/>
      </w:pPr>
      <w:rPr>
        <w:rFonts w:ascii="Wingdings" w:hAnsi="Wingdings" w:hint="default"/>
      </w:rPr>
    </w:lvl>
    <w:lvl w:ilvl="3" w:tplc="0C090001" w:tentative="1">
      <w:start w:val="1"/>
      <w:numFmt w:val="bullet"/>
      <w:lvlText w:val=""/>
      <w:lvlJc w:val="left"/>
      <w:pPr>
        <w:ind w:left="4300" w:hanging="360"/>
      </w:pPr>
      <w:rPr>
        <w:rFonts w:ascii="Symbol" w:hAnsi="Symbol" w:hint="default"/>
      </w:rPr>
    </w:lvl>
    <w:lvl w:ilvl="4" w:tplc="0C090003" w:tentative="1">
      <w:start w:val="1"/>
      <w:numFmt w:val="bullet"/>
      <w:lvlText w:val="o"/>
      <w:lvlJc w:val="left"/>
      <w:pPr>
        <w:ind w:left="5020" w:hanging="360"/>
      </w:pPr>
      <w:rPr>
        <w:rFonts w:ascii="Courier New" w:hAnsi="Courier New" w:cs="Courier New" w:hint="default"/>
      </w:rPr>
    </w:lvl>
    <w:lvl w:ilvl="5" w:tplc="0C090005" w:tentative="1">
      <w:start w:val="1"/>
      <w:numFmt w:val="bullet"/>
      <w:lvlText w:val=""/>
      <w:lvlJc w:val="left"/>
      <w:pPr>
        <w:ind w:left="5740" w:hanging="360"/>
      </w:pPr>
      <w:rPr>
        <w:rFonts w:ascii="Wingdings" w:hAnsi="Wingdings" w:hint="default"/>
      </w:rPr>
    </w:lvl>
    <w:lvl w:ilvl="6" w:tplc="0C090001" w:tentative="1">
      <w:start w:val="1"/>
      <w:numFmt w:val="bullet"/>
      <w:lvlText w:val=""/>
      <w:lvlJc w:val="left"/>
      <w:pPr>
        <w:ind w:left="6460" w:hanging="360"/>
      </w:pPr>
      <w:rPr>
        <w:rFonts w:ascii="Symbol" w:hAnsi="Symbol" w:hint="default"/>
      </w:rPr>
    </w:lvl>
    <w:lvl w:ilvl="7" w:tplc="0C090003" w:tentative="1">
      <w:start w:val="1"/>
      <w:numFmt w:val="bullet"/>
      <w:lvlText w:val="o"/>
      <w:lvlJc w:val="left"/>
      <w:pPr>
        <w:ind w:left="7180" w:hanging="360"/>
      </w:pPr>
      <w:rPr>
        <w:rFonts w:ascii="Courier New" w:hAnsi="Courier New" w:cs="Courier New" w:hint="default"/>
      </w:rPr>
    </w:lvl>
    <w:lvl w:ilvl="8" w:tplc="0C090005" w:tentative="1">
      <w:start w:val="1"/>
      <w:numFmt w:val="bullet"/>
      <w:lvlText w:val=""/>
      <w:lvlJc w:val="left"/>
      <w:pPr>
        <w:ind w:left="7900" w:hanging="360"/>
      </w:pPr>
      <w:rPr>
        <w:rFonts w:ascii="Wingdings" w:hAnsi="Wingdings" w:hint="default"/>
      </w:rPr>
    </w:lvl>
  </w:abstractNum>
  <w:abstractNum w:abstractNumId="24" w15:restartNumberingAfterBreak="0">
    <w:nsid w:val="367F6A45"/>
    <w:multiLevelType w:val="multilevel"/>
    <w:tmpl w:val="80C0D6D2"/>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7BA12F1"/>
    <w:multiLevelType w:val="hybridMultilevel"/>
    <w:tmpl w:val="D8CA4C9A"/>
    <w:lvl w:ilvl="0" w:tplc="10F28136">
      <w:start w:val="1"/>
      <w:numFmt w:val="bullet"/>
      <w:lvlText w:val=""/>
      <w:lvlJc w:val="left"/>
      <w:pPr>
        <w:ind w:left="355" w:hanging="252"/>
      </w:pPr>
      <w:rPr>
        <w:rFonts w:ascii="Symbol" w:eastAsia="Symbol" w:hAnsi="Symbol" w:hint="default"/>
        <w:w w:val="100"/>
        <w:sz w:val="18"/>
        <w:szCs w:val="18"/>
      </w:rPr>
    </w:lvl>
    <w:lvl w:ilvl="1" w:tplc="7222DCD8">
      <w:start w:val="1"/>
      <w:numFmt w:val="bullet"/>
      <w:lvlText w:val="•"/>
      <w:lvlJc w:val="left"/>
      <w:pPr>
        <w:ind w:left="634" w:hanging="252"/>
      </w:pPr>
      <w:rPr>
        <w:rFonts w:hint="default"/>
      </w:rPr>
    </w:lvl>
    <w:lvl w:ilvl="2" w:tplc="DE3C358A">
      <w:start w:val="1"/>
      <w:numFmt w:val="bullet"/>
      <w:lvlText w:val="•"/>
      <w:lvlJc w:val="left"/>
      <w:pPr>
        <w:ind w:left="909" w:hanging="252"/>
      </w:pPr>
      <w:rPr>
        <w:rFonts w:hint="default"/>
      </w:rPr>
    </w:lvl>
    <w:lvl w:ilvl="3" w:tplc="7924CD96">
      <w:start w:val="1"/>
      <w:numFmt w:val="bullet"/>
      <w:lvlText w:val="•"/>
      <w:lvlJc w:val="left"/>
      <w:pPr>
        <w:ind w:left="1184" w:hanging="252"/>
      </w:pPr>
      <w:rPr>
        <w:rFonts w:hint="default"/>
      </w:rPr>
    </w:lvl>
    <w:lvl w:ilvl="4" w:tplc="9FDE7798">
      <w:start w:val="1"/>
      <w:numFmt w:val="bullet"/>
      <w:lvlText w:val="•"/>
      <w:lvlJc w:val="left"/>
      <w:pPr>
        <w:ind w:left="1459" w:hanging="252"/>
      </w:pPr>
      <w:rPr>
        <w:rFonts w:hint="default"/>
      </w:rPr>
    </w:lvl>
    <w:lvl w:ilvl="5" w:tplc="6F709CDC">
      <w:start w:val="1"/>
      <w:numFmt w:val="bullet"/>
      <w:lvlText w:val="•"/>
      <w:lvlJc w:val="left"/>
      <w:pPr>
        <w:ind w:left="1734" w:hanging="252"/>
      </w:pPr>
      <w:rPr>
        <w:rFonts w:hint="default"/>
      </w:rPr>
    </w:lvl>
    <w:lvl w:ilvl="6" w:tplc="28D25340">
      <w:start w:val="1"/>
      <w:numFmt w:val="bullet"/>
      <w:lvlText w:val="•"/>
      <w:lvlJc w:val="left"/>
      <w:pPr>
        <w:ind w:left="2008" w:hanging="252"/>
      </w:pPr>
      <w:rPr>
        <w:rFonts w:hint="default"/>
      </w:rPr>
    </w:lvl>
    <w:lvl w:ilvl="7" w:tplc="59FC91C2">
      <w:start w:val="1"/>
      <w:numFmt w:val="bullet"/>
      <w:lvlText w:val="•"/>
      <w:lvlJc w:val="left"/>
      <w:pPr>
        <w:ind w:left="2283" w:hanging="252"/>
      </w:pPr>
      <w:rPr>
        <w:rFonts w:hint="default"/>
      </w:rPr>
    </w:lvl>
    <w:lvl w:ilvl="8" w:tplc="4C4674F4">
      <w:start w:val="1"/>
      <w:numFmt w:val="bullet"/>
      <w:lvlText w:val="•"/>
      <w:lvlJc w:val="left"/>
      <w:pPr>
        <w:ind w:left="2558" w:hanging="252"/>
      </w:pPr>
      <w:rPr>
        <w:rFonts w:hint="default"/>
      </w:rPr>
    </w:lvl>
  </w:abstractNum>
  <w:abstractNum w:abstractNumId="26" w15:restartNumberingAfterBreak="0">
    <w:nsid w:val="41C02BA4"/>
    <w:multiLevelType w:val="hybridMultilevel"/>
    <w:tmpl w:val="E9DC3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4511613"/>
    <w:multiLevelType w:val="hybridMultilevel"/>
    <w:tmpl w:val="2F8EA6FE"/>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8" w15:restartNumberingAfterBreak="0">
    <w:nsid w:val="465C77FB"/>
    <w:multiLevelType w:val="hybridMultilevel"/>
    <w:tmpl w:val="4D3A4328"/>
    <w:lvl w:ilvl="0" w:tplc="EA5EC08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F542126"/>
    <w:multiLevelType w:val="hybridMultilevel"/>
    <w:tmpl w:val="E36654CE"/>
    <w:lvl w:ilvl="0" w:tplc="EA5EC08E">
      <w:start w:val="1"/>
      <w:numFmt w:val="bullet"/>
      <w:lvlText w:val=""/>
      <w:lvlJc w:val="left"/>
      <w:pPr>
        <w:ind w:left="720" w:hanging="360"/>
      </w:pPr>
      <w:rPr>
        <w:rFonts w:ascii="Symbol" w:hAnsi="Symbol" w:hint="default"/>
      </w:rPr>
    </w:lvl>
    <w:lvl w:ilvl="1" w:tplc="EA5EC08E">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34F3E9C"/>
    <w:multiLevelType w:val="hybridMultilevel"/>
    <w:tmpl w:val="4BA20D4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55612C4"/>
    <w:multiLevelType w:val="hybridMultilevel"/>
    <w:tmpl w:val="169A89A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2" w15:restartNumberingAfterBreak="0">
    <w:nsid w:val="5B4C4424"/>
    <w:multiLevelType w:val="hybridMultilevel"/>
    <w:tmpl w:val="3774B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E89089F"/>
    <w:multiLevelType w:val="hybridMultilevel"/>
    <w:tmpl w:val="E87A41BC"/>
    <w:lvl w:ilvl="0" w:tplc="0C090001">
      <w:start w:val="1"/>
      <w:numFmt w:val="bullet"/>
      <w:lvlText w:val=""/>
      <w:lvlJc w:val="left"/>
      <w:pPr>
        <w:ind w:left="1663" w:hanging="360"/>
      </w:pPr>
      <w:rPr>
        <w:rFonts w:ascii="Symbol" w:hAnsi="Symbol" w:hint="default"/>
      </w:rPr>
    </w:lvl>
    <w:lvl w:ilvl="1" w:tplc="0C090003" w:tentative="1">
      <w:start w:val="1"/>
      <w:numFmt w:val="bullet"/>
      <w:lvlText w:val="o"/>
      <w:lvlJc w:val="left"/>
      <w:pPr>
        <w:ind w:left="2383" w:hanging="360"/>
      </w:pPr>
      <w:rPr>
        <w:rFonts w:ascii="Courier New" w:hAnsi="Courier New" w:cs="Courier New" w:hint="default"/>
      </w:rPr>
    </w:lvl>
    <w:lvl w:ilvl="2" w:tplc="0C090005" w:tentative="1">
      <w:start w:val="1"/>
      <w:numFmt w:val="bullet"/>
      <w:lvlText w:val=""/>
      <w:lvlJc w:val="left"/>
      <w:pPr>
        <w:ind w:left="3103" w:hanging="360"/>
      </w:pPr>
      <w:rPr>
        <w:rFonts w:ascii="Wingdings" w:hAnsi="Wingdings" w:hint="default"/>
      </w:rPr>
    </w:lvl>
    <w:lvl w:ilvl="3" w:tplc="0C090001" w:tentative="1">
      <w:start w:val="1"/>
      <w:numFmt w:val="bullet"/>
      <w:lvlText w:val=""/>
      <w:lvlJc w:val="left"/>
      <w:pPr>
        <w:ind w:left="3823" w:hanging="360"/>
      </w:pPr>
      <w:rPr>
        <w:rFonts w:ascii="Symbol" w:hAnsi="Symbol" w:hint="default"/>
      </w:rPr>
    </w:lvl>
    <w:lvl w:ilvl="4" w:tplc="0C090003" w:tentative="1">
      <w:start w:val="1"/>
      <w:numFmt w:val="bullet"/>
      <w:lvlText w:val="o"/>
      <w:lvlJc w:val="left"/>
      <w:pPr>
        <w:ind w:left="4543" w:hanging="360"/>
      </w:pPr>
      <w:rPr>
        <w:rFonts w:ascii="Courier New" w:hAnsi="Courier New" w:cs="Courier New" w:hint="default"/>
      </w:rPr>
    </w:lvl>
    <w:lvl w:ilvl="5" w:tplc="0C090005" w:tentative="1">
      <w:start w:val="1"/>
      <w:numFmt w:val="bullet"/>
      <w:lvlText w:val=""/>
      <w:lvlJc w:val="left"/>
      <w:pPr>
        <w:ind w:left="5263" w:hanging="360"/>
      </w:pPr>
      <w:rPr>
        <w:rFonts w:ascii="Wingdings" w:hAnsi="Wingdings" w:hint="default"/>
      </w:rPr>
    </w:lvl>
    <w:lvl w:ilvl="6" w:tplc="0C090001" w:tentative="1">
      <w:start w:val="1"/>
      <w:numFmt w:val="bullet"/>
      <w:lvlText w:val=""/>
      <w:lvlJc w:val="left"/>
      <w:pPr>
        <w:ind w:left="5983" w:hanging="360"/>
      </w:pPr>
      <w:rPr>
        <w:rFonts w:ascii="Symbol" w:hAnsi="Symbol" w:hint="default"/>
      </w:rPr>
    </w:lvl>
    <w:lvl w:ilvl="7" w:tplc="0C090003" w:tentative="1">
      <w:start w:val="1"/>
      <w:numFmt w:val="bullet"/>
      <w:lvlText w:val="o"/>
      <w:lvlJc w:val="left"/>
      <w:pPr>
        <w:ind w:left="6703" w:hanging="360"/>
      </w:pPr>
      <w:rPr>
        <w:rFonts w:ascii="Courier New" w:hAnsi="Courier New" w:cs="Courier New" w:hint="default"/>
      </w:rPr>
    </w:lvl>
    <w:lvl w:ilvl="8" w:tplc="0C090005" w:tentative="1">
      <w:start w:val="1"/>
      <w:numFmt w:val="bullet"/>
      <w:lvlText w:val=""/>
      <w:lvlJc w:val="left"/>
      <w:pPr>
        <w:ind w:left="7423" w:hanging="360"/>
      </w:pPr>
      <w:rPr>
        <w:rFonts w:ascii="Wingdings" w:hAnsi="Wingdings" w:hint="default"/>
      </w:rPr>
    </w:lvl>
  </w:abstractNum>
  <w:abstractNum w:abstractNumId="34" w15:restartNumberingAfterBreak="0">
    <w:nsid w:val="5F6D1A40"/>
    <w:multiLevelType w:val="hybridMultilevel"/>
    <w:tmpl w:val="2CAE669A"/>
    <w:lvl w:ilvl="0" w:tplc="DB587664">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2BB5B66"/>
    <w:multiLevelType w:val="hybridMultilevel"/>
    <w:tmpl w:val="56FC68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42A6572"/>
    <w:multiLevelType w:val="hybridMultilevel"/>
    <w:tmpl w:val="096CB2D4"/>
    <w:lvl w:ilvl="0" w:tplc="230269B2">
      <w:start w:val="1"/>
      <w:numFmt w:val="bullet"/>
      <w:lvlText w:val=""/>
      <w:lvlJc w:val="left"/>
      <w:pPr>
        <w:ind w:left="355" w:hanging="252"/>
      </w:pPr>
      <w:rPr>
        <w:rFonts w:ascii="Symbol" w:eastAsia="Symbol" w:hAnsi="Symbol" w:hint="default"/>
        <w:w w:val="100"/>
        <w:sz w:val="18"/>
        <w:szCs w:val="18"/>
      </w:rPr>
    </w:lvl>
    <w:lvl w:ilvl="1" w:tplc="2C04E83E">
      <w:start w:val="1"/>
      <w:numFmt w:val="bullet"/>
      <w:lvlText w:val="•"/>
      <w:lvlJc w:val="left"/>
      <w:pPr>
        <w:ind w:left="634" w:hanging="252"/>
      </w:pPr>
      <w:rPr>
        <w:rFonts w:hint="default"/>
      </w:rPr>
    </w:lvl>
    <w:lvl w:ilvl="2" w:tplc="4CE45F54">
      <w:start w:val="1"/>
      <w:numFmt w:val="bullet"/>
      <w:lvlText w:val="•"/>
      <w:lvlJc w:val="left"/>
      <w:pPr>
        <w:ind w:left="909" w:hanging="252"/>
      </w:pPr>
      <w:rPr>
        <w:rFonts w:hint="default"/>
      </w:rPr>
    </w:lvl>
    <w:lvl w:ilvl="3" w:tplc="70282F08">
      <w:start w:val="1"/>
      <w:numFmt w:val="bullet"/>
      <w:lvlText w:val="•"/>
      <w:lvlJc w:val="left"/>
      <w:pPr>
        <w:ind w:left="1184" w:hanging="252"/>
      </w:pPr>
      <w:rPr>
        <w:rFonts w:hint="default"/>
      </w:rPr>
    </w:lvl>
    <w:lvl w:ilvl="4" w:tplc="B8E49FB6">
      <w:start w:val="1"/>
      <w:numFmt w:val="bullet"/>
      <w:lvlText w:val="•"/>
      <w:lvlJc w:val="left"/>
      <w:pPr>
        <w:ind w:left="1459" w:hanging="252"/>
      </w:pPr>
      <w:rPr>
        <w:rFonts w:hint="default"/>
      </w:rPr>
    </w:lvl>
    <w:lvl w:ilvl="5" w:tplc="8B7CA66A">
      <w:start w:val="1"/>
      <w:numFmt w:val="bullet"/>
      <w:lvlText w:val="•"/>
      <w:lvlJc w:val="left"/>
      <w:pPr>
        <w:ind w:left="1734" w:hanging="252"/>
      </w:pPr>
      <w:rPr>
        <w:rFonts w:hint="default"/>
      </w:rPr>
    </w:lvl>
    <w:lvl w:ilvl="6" w:tplc="D95E832E">
      <w:start w:val="1"/>
      <w:numFmt w:val="bullet"/>
      <w:lvlText w:val="•"/>
      <w:lvlJc w:val="left"/>
      <w:pPr>
        <w:ind w:left="2008" w:hanging="252"/>
      </w:pPr>
      <w:rPr>
        <w:rFonts w:hint="default"/>
      </w:rPr>
    </w:lvl>
    <w:lvl w:ilvl="7" w:tplc="093EDC42">
      <w:start w:val="1"/>
      <w:numFmt w:val="bullet"/>
      <w:lvlText w:val="•"/>
      <w:lvlJc w:val="left"/>
      <w:pPr>
        <w:ind w:left="2283" w:hanging="252"/>
      </w:pPr>
      <w:rPr>
        <w:rFonts w:hint="default"/>
      </w:rPr>
    </w:lvl>
    <w:lvl w:ilvl="8" w:tplc="520871F8">
      <w:start w:val="1"/>
      <w:numFmt w:val="bullet"/>
      <w:lvlText w:val="•"/>
      <w:lvlJc w:val="left"/>
      <w:pPr>
        <w:ind w:left="2558" w:hanging="252"/>
      </w:pPr>
      <w:rPr>
        <w:rFonts w:hint="default"/>
      </w:rPr>
    </w:lvl>
  </w:abstractNum>
  <w:abstractNum w:abstractNumId="37" w15:restartNumberingAfterBreak="0">
    <w:nsid w:val="66744469"/>
    <w:multiLevelType w:val="hybridMultilevel"/>
    <w:tmpl w:val="5628B982"/>
    <w:lvl w:ilvl="0" w:tplc="6854FAF0">
      <w:start w:val="1"/>
      <w:numFmt w:val="decimal"/>
      <w:lvlText w:val="%1."/>
      <w:lvlJc w:val="left"/>
      <w:pPr>
        <w:ind w:left="540" w:hanging="428"/>
      </w:pPr>
      <w:rPr>
        <w:rFonts w:ascii="Arial" w:eastAsia="Arial" w:hAnsi="Arial" w:hint="default"/>
        <w:spacing w:val="-1"/>
        <w:w w:val="100"/>
        <w:sz w:val="22"/>
        <w:szCs w:val="22"/>
      </w:rPr>
    </w:lvl>
    <w:lvl w:ilvl="1" w:tplc="857677DC">
      <w:start w:val="1"/>
      <w:numFmt w:val="bullet"/>
      <w:lvlText w:val="•"/>
      <w:lvlJc w:val="left"/>
      <w:pPr>
        <w:ind w:left="1498" w:hanging="428"/>
      </w:pPr>
      <w:rPr>
        <w:rFonts w:hint="default"/>
      </w:rPr>
    </w:lvl>
    <w:lvl w:ilvl="2" w:tplc="99EA133A">
      <w:start w:val="1"/>
      <w:numFmt w:val="bullet"/>
      <w:lvlText w:val="•"/>
      <w:lvlJc w:val="left"/>
      <w:pPr>
        <w:ind w:left="2457" w:hanging="428"/>
      </w:pPr>
      <w:rPr>
        <w:rFonts w:hint="default"/>
      </w:rPr>
    </w:lvl>
    <w:lvl w:ilvl="3" w:tplc="188652D0">
      <w:start w:val="1"/>
      <w:numFmt w:val="bullet"/>
      <w:lvlText w:val="•"/>
      <w:lvlJc w:val="left"/>
      <w:pPr>
        <w:ind w:left="3415" w:hanging="428"/>
      </w:pPr>
      <w:rPr>
        <w:rFonts w:hint="default"/>
      </w:rPr>
    </w:lvl>
    <w:lvl w:ilvl="4" w:tplc="831EAFB0">
      <w:start w:val="1"/>
      <w:numFmt w:val="bullet"/>
      <w:lvlText w:val="•"/>
      <w:lvlJc w:val="left"/>
      <w:pPr>
        <w:ind w:left="4374" w:hanging="428"/>
      </w:pPr>
      <w:rPr>
        <w:rFonts w:hint="default"/>
      </w:rPr>
    </w:lvl>
    <w:lvl w:ilvl="5" w:tplc="7234A5CE">
      <w:start w:val="1"/>
      <w:numFmt w:val="bullet"/>
      <w:lvlText w:val="•"/>
      <w:lvlJc w:val="left"/>
      <w:pPr>
        <w:ind w:left="5333" w:hanging="428"/>
      </w:pPr>
      <w:rPr>
        <w:rFonts w:hint="default"/>
      </w:rPr>
    </w:lvl>
    <w:lvl w:ilvl="6" w:tplc="769A777E">
      <w:start w:val="1"/>
      <w:numFmt w:val="bullet"/>
      <w:lvlText w:val="•"/>
      <w:lvlJc w:val="left"/>
      <w:pPr>
        <w:ind w:left="6291" w:hanging="428"/>
      </w:pPr>
      <w:rPr>
        <w:rFonts w:hint="default"/>
      </w:rPr>
    </w:lvl>
    <w:lvl w:ilvl="7" w:tplc="A8F66A7A">
      <w:start w:val="1"/>
      <w:numFmt w:val="bullet"/>
      <w:lvlText w:val="•"/>
      <w:lvlJc w:val="left"/>
      <w:pPr>
        <w:ind w:left="7250" w:hanging="428"/>
      </w:pPr>
      <w:rPr>
        <w:rFonts w:hint="default"/>
      </w:rPr>
    </w:lvl>
    <w:lvl w:ilvl="8" w:tplc="37820340">
      <w:start w:val="1"/>
      <w:numFmt w:val="bullet"/>
      <w:lvlText w:val="•"/>
      <w:lvlJc w:val="left"/>
      <w:pPr>
        <w:ind w:left="8209" w:hanging="428"/>
      </w:pPr>
      <w:rPr>
        <w:rFonts w:hint="default"/>
      </w:rPr>
    </w:lvl>
  </w:abstractNum>
  <w:abstractNum w:abstractNumId="38" w15:restartNumberingAfterBreak="0">
    <w:nsid w:val="693D159F"/>
    <w:multiLevelType w:val="hybridMultilevel"/>
    <w:tmpl w:val="69627168"/>
    <w:lvl w:ilvl="0" w:tplc="3D0C5F40">
      <w:start w:val="1"/>
      <w:numFmt w:val="bullet"/>
      <w:lvlText w:val=""/>
      <w:lvlJc w:val="left"/>
      <w:pPr>
        <w:ind w:left="355" w:hanging="252"/>
      </w:pPr>
      <w:rPr>
        <w:rFonts w:ascii="Symbol" w:eastAsia="Symbol" w:hAnsi="Symbol" w:hint="default"/>
        <w:w w:val="100"/>
        <w:sz w:val="18"/>
        <w:szCs w:val="18"/>
      </w:rPr>
    </w:lvl>
    <w:lvl w:ilvl="1" w:tplc="B6E64CC4">
      <w:start w:val="1"/>
      <w:numFmt w:val="bullet"/>
      <w:lvlText w:val="•"/>
      <w:lvlJc w:val="left"/>
      <w:pPr>
        <w:ind w:left="634" w:hanging="252"/>
      </w:pPr>
      <w:rPr>
        <w:rFonts w:hint="default"/>
      </w:rPr>
    </w:lvl>
    <w:lvl w:ilvl="2" w:tplc="77CC4E46">
      <w:start w:val="1"/>
      <w:numFmt w:val="bullet"/>
      <w:lvlText w:val="•"/>
      <w:lvlJc w:val="left"/>
      <w:pPr>
        <w:ind w:left="909" w:hanging="252"/>
      </w:pPr>
      <w:rPr>
        <w:rFonts w:hint="default"/>
      </w:rPr>
    </w:lvl>
    <w:lvl w:ilvl="3" w:tplc="3AE6F0B2">
      <w:start w:val="1"/>
      <w:numFmt w:val="bullet"/>
      <w:lvlText w:val="•"/>
      <w:lvlJc w:val="left"/>
      <w:pPr>
        <w:ind w:left="1184" w:hanging="252"/>
      </w:pPr>
      <w:rPr>
        <w:rFonts w:hint="default"/>
      </w:rPr>
    </w:lvl>
    <w:lvl w:ilvl="4" w:tplc="64DE171E">
      <w:start w:val="1"/>
      <w:numFmt w:val="bullet"/>
      <w:lvlText w:val="•"/>
      <w:lvlJc w:val="left"/>
      <w:pPr>
        <w:ind w:left="1459" w:hanging="252"/>
      </w:pPr>
      <w:rPr>
        <w:rFonts w:hint="default"/>
      </w:rPr>
    </w:lvl>
    <w:lvl w:ilvl="5" w:tplc="2CC63030">
      <w:start w:val="1"/>
      <w:numFmt w:val="bullet"/>
      <w:lvlText w:val="•"/>
      <w:lvlJc w:val="left"/>
      <w:pPr>
        <w:ind w:left="1734" w:hanging="252"/>
      </w:pPr>
      <w:rPr>
        <w:rFonts w:hint="default"/>
      </w:rPr>
    </w:lvl>
    <w:lvl w:ilvl="6" w:tplc="01A6B484">
      <w:start w:val="1"/>
      <w:numFmt w:val="bullet"/>
      <w:lvlText w:val="•"/>
      <w:lvlJc w:val="left"/>
      <w:pPr>
        <w:ind w:left="2008" w:hanging="252"/>
      </w:pPr>
      <w:rPr>
        <w:rFonts w:hint="default"/>
      </w:rPr>
    </w:lvl>
    <w:lvl w:ilvl="7" w:tplc="CE1803C0">
      <w:start w:val="1"/>
      <w:numFmt w:val="bullet"/>
      <w:lvlText w:val="•"/>
      <w:lvlJc w:val="left"/>
      <w:pPr>
        <w:ind w:left="2283" w:hanging="252"/>
      </w:pPr>
      <w:rPr>
        <w:rFonts w:hint="default"/>
      </w:rPr>
    </w:lvl>
    <w:lvl w:ilvl="8" w:tplc="54AA68A8">
      <w:start w:val="1"/>
      <w:numFmt w:val="bullet"/>
      <w:lvlText w:val="•"/>
      <w:lvlJc w:val="left"/>
      <w:pPr>
        <w:ind w:left="2558" w:hanging="252"/>
      </w:pPr>
      <w:rPr>
        <w:rFonts w:hint="default"/>
      </w:rPr>
    </w:lvl>
  </w:abstractNum>
  <w:abstractNum w:abstractNumId="39" w15:restartNumberingAfterBreak="0">
    <w:nsid w:val="6EE92352"/>
    <w:multiLevelType w:val="hybridMultilevel"/>
    <w:tmpl w:val="6944B70E"/>
    <w:lvl w:ilvl="0" w:tplc="16B8F946">
      <w:start w:val="1"/>
      <w:numFmt w:val="bullet"/>
      <w:lvlText w:val=""/>
      <w:lvlJc w:val="left"/>
      <w:pPr>
        <w:ind w:left="361" w:hanging="361"/>
      </w:pPr>
      <w:rPr>
        <w:rFonts w:ascii="Symbol" w:eastAsia="Symbol" w:hAnsi="Symbol" w:hint="default"/>
        <w:w w:val="100"/>
        <w:sz w:val="22"/>
        <w:szCs w:val="22"/>
      </w:rPr>
    </w:lvl>
    <w:lvl w:ilvl="1" w:tplc="A59CFF9E">
      <w:start w:val="1"/>
      <w:numFmt w:val="bullet"/>
      <w:lvlText w:val=""/>
      <w:lvlJc w:val="left"/>
      <w:pPr>
        <w:ind w:left="853" w:hanging="492"/>
      </w:pPr>
      <w:rPr>
        <w:rFonts w:ascii="Symbol" w:eastAsia="Symbol" w:hAnsi="Symbol" w:hint="default"/>
        <w:w w:val="100"/>
        <w:sz w:val="22"/>
        <w:szCs w:val="22"/>
      </w:rPr>
    </w:lvl>
    <w:lvl w:ilvl="2" w:tplc="F832422E">
      <w:start w:val="1"/>
      <w:numFmt w:val="bullet"/>
      <w:lvlText w:val="•"/>
      <w:lvlJc w:val="left"/>
      <w:pPr>
        <w:ind w:left="1866" w:hanging="492"/>
      </w:pPr>
      <w:rPr>
        <w:rFonts w:hint="default"/>
      </w:rPr>
    </w:lvl>
    <w:lvl w:ilvl="3" w:tplc="3574FA58">
      <w:start w:val="1"/>
      <w:numFmt w:val="bullet"/>
      <w:lvlText w:val="•"/>
      <w:lvlJc w:val="left"/>
      <w:pPr>
        <w:ind w:left="2884" w:hanging="492"/>
      </w:pPr>
      <w:rPr>
        <w:rFonts w:hint="default"/>
      </w:rPr>
    </w:lvl>
    <w:lvl w:ilvl="4" w:tplc="910A97FE">
      <w:start w:val="1"/>
      <w:numFmt w:val="bullet"/>
      <w:lvlText w:val="•"/>
      <w:lvlJc w:val="left"/>
      <w:pPr>
        <w:ind w:left="3903" w:hanging="492"/>
      </w:pPr>
      <w:rPr>
        <w:rFonts w:hint="default"/>
      </w:rPr>
    </w:lvl>
    <w:lvl w:ilvl="5" w:tplc="706C39BE">
      <w:start w:val="1"/>
      <w:numFmt w:val="bullet"/>
      <w:lvlText w:val="•"/>
      <w:lvlJc w:val="left"/>
      <w:pPr>
        <w:ind w:left="4921" w:hanging="492"/>
      </w:pPr>
      <w:rPr>
        <w:rFonts w:hint="default"/>
      </w:rPr>
    </w:lvl>
    <w:lvl w:ilvl="6" w:tplc="8E2EFFB6">
      <w:start w:val="1"/>
      <w:numFmt w:val="bullet"/>
      <w:lvlText w:val="•"/>
      <w:lvlJc w:val="left"/>
      <w:pPr>
        <w:ind w:left="5940" w:hanging="492"/>
      </w:pPr>
      <w:rPr>
        <w:rFonts w:hint="default"/>
      </w:rPr>
    </w:lvl>
    <w:lvl w:ilvl="7" w:tplc="B34A8A14">
      <w:start w:val="1"/>
      <w:numFmt w:val="bullet"/>
      <w:lvlText w:val="•"/>
      <w:lvlJc w:val="left"/>
      <w:pPr>
        <w:ind w:left="6958" w:hanging="492"/>
      </w:pPr>
      <w:rPr>
        <w:rFonts w:hint="default"/>
      </w:rPr>
    </w:lvl>
    <w:lvl w:ilvl="8" w:tplc="C908CEFE">
      <w:start w:val="1"/>
      <w:numFmt w:val="bullet"/>
      <w:lvlText w:val="•"/>
      <w:lvlJc w:val="left"/>
      <w:pPr>
        <w:ind w:left="7977" w:hanging="492"/>
      </w:pPr>
      <w:rPr>
        <w:rFonts w:hint="default"/>
      </w:rPr>
    </w:lvl>
  </w:abstractNum>
  <w:abstractNum w:abstractNumId="40" w15:restartNumberingAfterBreak="0">
    <w:nsid w:val="71FC1AF8"/>
    <w:multiLevelType w:val="hybridMultilevel"/>
    <w:tmpl w:val="9D2E56A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72DB0F79"/>
    <w:multiLevelType w:val="hybridMultilevel"/>
    <w:tmpl w:val="8A429062"/>
    <w:lvl w:ilvl="0" w:tplc="0C090001">
      <w:start w:val="1"/>
      <w:numFmt w:val="bullet"/>
      <w:lvlText w:val=""/>
      <w:lvlJc w:val="left"/>
      <w:pPr>
        <w:ind w:left="472" w:hanging="360"/>
      </w:pPr>
      <w:rPr>
        <w:rFonts w:ascii="Symbol" w:hAnsi="Symbol" w:hint="default"/>
      </w:rPr>
    </w:lvl>
    <w:lvl w:ilvl="1" w:tplc="0C090003" w:tentative="1">
      <w:start w:val="1"/>
      <w:numFmt w:val="bullet"/>
      <w:lvlText w:val="o"/>
      <w:lvlJc w:val="left"/>
      <w:pPr>
        <w:ind w:left="1192" w:hanging="360"/>
      </w:pPr>
      <w:rPr>
        <w:rFonts w:ascii="Courier New" w:hAnsi="Courier New" w:cs="Courier New" w:hint="default"/>
      </w:rPr>
    </w:lvl>
    <w:lvl w:ilvl="2" w:tplc="0C090005" w:tentative="1">
      <w:start w:val="1"/>
      <w:numFmt w:val="bullet"/>
      <w:lvlText w:val=""/>
      <w:lvlJc w:val="left"/>
      <w:pPr>
        <w:ind w:left="1912" w:hanging="360"/>
      </w:pPr>
      <w:rPr>
        <w:rFonts w:ascii="Wingdings" w:hAnsi="Wingdings" w:hint="default"/>
      </w:rPr>
    </w:lvl>
    <w:lvl w:ilvl="3" w:tplc="0C090001" w:tentative="1">
      <w:start w:val="1"/>
      <w:numFmt w:val="bullet"/>
      <w:lvlText w:val=""/>
      <w:lvlJc w:val="left"/>
      <w:pPr>
        <w:ind w:left="2632" w:hanging="360"/>
      </w:pPr>
      <w:rPr>
        <w:rFonts w:ascii="Symbol" w:hAnsi="Symbol" w:hint="default"/>
      </w:rPr>
    </w:lvl>
    <w:lvl w:ilvl="4" w:tplc="0C090003" w:tentative="1">
      <w:start w:val="1"/>
      <w:numFmt w:val="bullet"/>
      <w:lvlText w:val="o"/>
      <w:lvlJc w:val="left"/>
      <w:pPr>
        <w:ind w:left="3352" w:hanging="360"/>
      </w:pPr>
      <w:rPr>
        <w:rFonts w:ascii="Courier New" w:hAnsi="Courier New" w:cs="Courier New" w:hint="default"/>
      </w:rPr>
    </w:lvl>
    <w:lvl w:ilvl="5" w:tplc="0C090005" w:tentative="1">
      <w:start w:val="1"/>
      <w:numFmt w:val="bullet"/>
      <w:lvlText w:val=""/>
      <w:lvlJc w:val="left"/>
      <w:pPr>
        <w:ind w:left="4072" w:hanging="360"/>
      </w:pPr>
      <w:rPr>
        <w:rFonts w:ascii="Wingdings" w:hAnsi="Wingdings" w:hint="default"/>
      </w:rPr>
    </w:lvl>
    <w:lvl w:ilvl="6" w:tplc="0C090001" w:tentative="1">
      <w:start w:val="1"/>
      <w:numFmt w:val="bullet"/>
      <w:lvlText w:val=""/>
      <w:lvlJc w:val="left"/>
      <w:pPr>
        <w:ind w:left="4792" w:hanging="360"/>
      </w:pPr>
      <w:rPr>
        <w:rFonts w:ascii="Symbol" w:hAnsi="Symbol" w:hint="default"/>
      </w:rPr>
    </w:lvl>
    <w:lvl w:ilvl="7" w:tplc="0C090003" w:tentative="1">
      <w:start w:val="1"/>
      <w:numFmt w:val="bullet"/>
      <w:lvlText w:val="o"/>
      <w:lvlJc w:val="left"/>
      <w:pPr>
        <w:ind w:left="5512" w:hanging="360"/>
      </w:pPr>
      <w:rPr>
        <w:rFonts w:ascii="Courier New" w:hAnsi="Courier New" w:cs="Courier New" w:hint="default"/>
      </w:rPr>
    </w:lvl>
    <w:lvl w:ilvl="8" w:tplc="0C090005" w:tentative="1">
      <w:start w:val="1"/>
      <w:numFmt w:val="bullet"/>
      <w:lvlText w:val=""/>
      <w:lvlJc w:val="left"/>
      <w:pPr>
        <w:ind w:left="6232" w:hanging="360"/>
      </w:pPr>
      <w:rPr>
        <w:rFonts w:ascii="Wingdings" w:hAnsi="Wingdings" w:hint="default"/>
      </w:rPr>
    </w:lvl>
  </w:abstractNum>
  <w:abstractNum w:abstractNumId="42" w15:restartNumberingAfterBreak="0">
    <w:nsid w:val="72DD5FEA"/>
    <w:multiLevelType w:val="multilevel"/>
    <w:tmpl w:val="9C60AE34"/>
    <w:lvl w:ilvl="0">
      <w:start w:val="1"/>
      <w:numFmt w:val="decimal"/>
      <w:pStyle w:val="Style2"/>
      <w:lvlText w:val="%1."/>
      <w:lvlJc w:val="left"/>
      <w:pPr>
        <w:tabs>
          <w:tab w:val="num" w:pos="454"/>
        </w:tabs>
        <w:ind w:left="454" w:hanging="454"/>
      </w:pPr>
      <w:rPr>
        <w:rFonts w:hint="default"/>
        <w:b/>
        <w:i w:val="0"/>
      </w:rPr>
    </w:lvl>
    <w:lvl w:ilvl="1">
      <w:start w:val="1"/>
      <w:numFmt w:val="bullet"/>
      <w:lvlRestart w:val="0"/>
      <w:pStyle w:val="bulletpoint"/>
      <w:lvlText w:val=""/>
      <w:lvlJc w:val="left"/>
      <w:pPr>
        <w:tabs>
          <w:tab w:val="num" w:pos="454"/>
        </w:tabs>
        <w:ind w:left="454" w:hanging="454"/>
      </w:pPr>
      <w:rPr>
        <w:rFonts w:ascii="Symbol" w:hAnsi="Symbol" w:hint="default"/>
        <w:b w:val="0"/>
        <w:i w:val="0"/>
      </w:rPr>
    </w:lvl>
    <w:lvl w:ilvl="2">
      <w:start w:val="1"/>
      <w:numFmt w:val="bullet"/>
      <w:lvlRestart w:val="0"/>
      <w:pStyle w:val="dashpoint"/>
      <w:lvlText w:val="–"/>
      <w:lvlJc w:val="left"/>
      <w:pPr>
        <w:tabs>
          <w:tab w:val="num" w:pos="907"/>
        </w:tabs>
        <w:ind w:left="907" w:hanging="453"/>
      </w:pPr>
      <w:rPr>
        <w:rFonts w:ascii="Times New Roman" w:hAnsi="Times New Roman" w:cs="Times New Roman" w:hint="default"/>
        <w:b w:val="0"/>
        <w:i w:val="0"/>
      </w:rPr>
    </w:lvl>
    <w:lvl w:ilvl="3">
      <w:start w:val="1"/>
      <w:numFmt w:val="decimal"/>
      <w:lvlText w:val="%1.%2.%3.%4"/>
      <w:lvlJc w:val="left"/>
      <w:pPr>
        <w:tabs>
          <w:tab w:val="num" w:pos="2041"/>
        </w:tabs>
        <w:ind w:left="2041" w:hanging="907"/>
      </w:pPr>
      <w:rPr>
        <w:rFonts w:hint="default"/>
        <w:b w:val="0"/>
        <w:i w:val="0"/>
      </w:rPr>
    </w:lvl>
    <w:lvl w:ilvl="4">
      <w:start w:val="1"/>
      <w:numFmt w:val="decimal"/>
      <w:lvlText w:val="%1.%2.%3.%4.%5."/>
      <w:lvlJc w:val="left"/>
      <w:pPr>
        <w:tabs>
          <w:tab w:val="num" w:pos="4111"/>
        </w:tabs>
        <w:ind w:left="4111" w:hanging="1134"/>
      </w:pPr>
      <w:rPr>
        <w:rFonts w:hint="default"/>
        <w:b w:val="0"/>
        <w:i w:val="0"/>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3" w15:restartNumberingAfterBreak="0">
    <w:nsid w:val="73B00029"/>
    <w:multiLevelType w:val="hybridMultilevel"/>
    <w:tmpl w:val="CB1A3C58"/>
    <w:lvl w:ilvl="0" w:tplc="6C10FCBC">
      <w:start w:val="1"/>
      <w:numFmt w:val="bullet"/>
      <w:lvlText w:val=""/>
      <w:lvlJc w:val="left"/>
      <w:pPr>
        <w:ind w:left="472" w:hanging="361"/>
      </w:pPr>
      <w:rPr>
        <w:rFonts w:ascii="Symbol" w:eastAsia="Symbol" w:hAnsi="Symbol" w:hint="default"/>
        <w:w w:val="100"/>
        <w:sz w:val="22"/>
        <w:szCs w:val="22"/>
      </w:rPr>
    </w:lvl>
    <w:lvl w:ilvl="1" w:tplc="859EA548">
      <w:start w:val="1"/>
      <w:numFmt w:val="bullet"/>
      <w:lvlText w:val="•"/>
      <w:lvlJc w:val="left"/>
      <w:pPr>
        <w:ind w:left="1444" w:hanging="361"/>
      </w:pPr>
      <w:rPr>
        <w:rFonts w:hint="default"/>
      </w:rPr>
    </w:lvl>
    <w:lvl w:ilvl="2" w:tplc="27C879D0">
      <w:start w:val="1"/>
      <w:numFmt w:val="bullet"/>
      <w:lvlText w:val="•"/>
      <w:lvlJc w:val="left"/>
      <w:pPr>
        <w:ind w:left="2409" w:hanging="361"/>
      </w:pPr>
      <w:rPr>
        <w:rFonts w:hint="default"/>
      </w:rPr>
    </w:lvl>
    <w:lvl w:ilvl="3" w:tplc="BA0A8A5C">
      <w:start w:val="1"/>
      <w:numFmt w:val="bullet"/>
      <w:lvlText w:val="•"/>
      <w:lvlJc w:val="left"/>
      <w:pPr>
        <w:ind w:left="3373" w:hanging="361"/>
      </w:pPr>
      <w:rPr>
        <w:rFonts w:hint="default"/>
      </w:rPr>
    </w:lvl>
    <w:lvl w:ilvl="4" w:tplc="8772A5AE">
      <w:start w:val="1"/>
      <w:numFmt w:val="bullet"/>
      <w:lvlText w:val="•"/>
      <w:lvlJc w:val="left"/>
      <w:pPr>
        <w:ind w:left="4338" w:hanging="361"/>
      </w:pPr>
      <w:rPr>
        <w:rFonts w:hint="default"/>
      </w:rPr>
    </w:lvl>
    <w:lvl w:ilvl="5" w:tplc="9064C8B0">
      <w:start w:val="1"/>
      <w:numFmt w:val="bullet"/>
      <w:lvlText w:val="•"/>
      <w:lvlJc w:val="left"/>
      <w:pPr>
        <w:ind w:left="5303" w:hanging="361"/>
      </w:pPr>
      <w:rPr>
        <w:rFonts w:hint="default"/>
      </w:rPr>
    </w:lvl>
    <w:lvl w:ilvl="6" w:tplc="A8BEF74C">
      <w:start w:val="1"/>
      <w:numFmt w:val="bullet"/>
      <w:lvlText w:val="•"/>
      <w:lvlJc w:val="left"/>
      <w:pPr>
        <w:ind w:left="6267" w:hanging="361"/>
      </w:pPr>
      <w:rPr>
        <w:rFonts w:hint="default"/>
      </w:rPr>
    </w:lvl>
    <w:lvl w:ilvl="7" w:tplc="D34CC254">
      <w:start w:val="1"/>
      <w:numFmt w:val="bullet"/>
      <w:lvlText w:val="•"/>
      <w:lvlJc w:val="left"/>
      <w:pPr>
        <w:ind w:left="7232" w:hanging="361"/>
      </w:pPr>
      <w:rPr>
        <w:rFonts w:hint="default"/>
      </w:rPr>
    </w:lvl>
    <w:lvl w:ilvl="8" w:tplc="A808DEF2">
      <w:start w:val="1"/>
      <w:numFmt w:val="bullet"/>
      <w:lvlText w:val="•"/>
      <w:lvlJc w:val="left"/>
      <w:pPr>
        <w:ind w:left="8197" w:hanging="361"/>
      </w:pPr>
      <w:rPr>
        <w:rFonts w:hint="default"/>
      </w:rPr>
    </w:lvl>
  </w:abstractNum>
  <w:abstractNum w:abstractNumId="44" w15:restartNumberingAfterBreak="0">
    <w:nsid w:val="73F30A20"/>
    <w:multiLevelType w:val="hybridMultilevel"/>
    <w:tmpl w:val="5176A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6806E2D"/>
    <w:multiLevelType w:val="hybridMultilevel"/>
    <w:tmpl w:val="0B68EE18"/>
    <w:lvl w:ilvl="0" w:tplc="DB58766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8A512C2"/>
    <w:multiLevelType w:val="hybridMultilevel"/>
    <w:tmpl w:val="7AFC88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79161A17"/>
    <w:multiLevelType w:val="hybridMultilevel"/>
    <w:tmpl w:val="25F8EF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7C965F80"/>
    <w:multiLevelType w:val="hybridMultilevel"/>
    <w:tmpl w:val="0F6AAD5A"/>
    <w:lvl w:ilvl="0" w:tplc="0C09000F">
      <w:start w:val="1"/>
      <w:numFmt w:val="decimal"/>
      <w:lvlText w:val="%1."/>
      <w:lvlJc w:val="left"/>
      <w:pPr>
        <w:ind w:left="472" w:hanging="360"/>
      </w:pPr>
    </w:lvl>
    <w:lvl w:ilvl="1" w:tplc="0C090019" w:tentative="1">
      <w:start w:val="1"/>
      <w:numFmt w:val="lowerLetter"/>
      <w:lvlText w:val="%2."/>
      <w:lvlJc w:val="left"/>
      <w:pPr>
        <w:ind w:left="1192" w:hanging="360"/>
      </w:pPr>
    </w:lvl>
    <w:lvl w:ilvl="2" w:tplc="0C09001B" w:tentative="1">
      <w:start w:val="1"/>
      <w:numFmt w:val="lowerRoman"/>
      <w:lvlText w:val="%3."/>
      <w:lvlJc w:val="right"/>
      <w:pPr>
        <w:ind w:left="1912" w:hanging="180"/>
      </w:pPr>
    </w:lvl>
    <w:lvl w:ilvl="3" w:tplc="0C09000F" w:tentative="1">
      <w:start w:val="1"/>
      <w:numFmt w:val="decimal"/>
      <w:lvlText w:val="%4."/>
      <w:lvlJc w:val="left"/>
      <w:pPr>
        <w:ind w:left="2632" w:hanging="360"/>
      </w:pPr>
    </w:lvl>
    <w:lvl w:ilvl="4" w:tplc="0C090019" w:tentative="1">
      <w:start w:val="1"/>
      <w:numFmt w:val="lowerLetter"/>
      <w:lvlText w:val="%5."/>
      <w:lvlJc w:val="left"/>
      <w:pPr>
        <w:ind w:left="3352" w:hanging="360"/>
      </w:pPr>
    </w:lvl>
    <w:lvl w:ilvl="5" w:tplc="0C09001B" w:tentative="1">
      <w:start w:val="1"/>
      <w:numFmt w:val="lowerRoman"/>
      <w:lvlText w:val="%6."/>
      <w:lvlJc w:val="right"/>
      <w:pPr>
        <w:ind w:left="4072" w:hanging="180"/>
      </w:pPr>
    </w:lvl>
    <w:lvl w:ilvl="6" w:tplc="0C09000F" w:tentative="1">
      <w:start w:val="1"/>
      <w:numFmt w:val="decimal"/>
      <w:lvlText w:val="%7."/>
      <w:lvlJc w:val="left"/>
      <w:pPr>
        <w:ind w:left="4792" w:hanging="360"/>
      </w:pPr>
    </w:lvl>
    <w:lvl w:ilvl="7" w:tplc="0C090019" w:tentative="1">
      <w:start w:val="1"/>
      <w:numFmt w:val="lowerLetter"/>
      <w:lvlText w:val="%8."/>
      <w:lvlJc w:val="left"/>
      <w:pPr>
        <w:ind w:left="5512" w:hanging="360"/>
      </w:pPr>
    </w:lvl>
    <w:lvl w:ilvl="8" w:tplc="0C09001B" w:tentative="1">
      <w:start w:val="1"/>
      <w:numFmt w:val="lowerRoman"/>
      <w:lvlText w:val="%9."/>
      <w:lvlJc w:val="right"/>
      <w:pPr>
        <w:ind w:left="6232" w:hanging="180"/>
      </w:pPr>
    </w:lvl>
  </w:abstractNum>
  <w:num w:numId="1">
    <w:abstractNumId w:val="4"/>
  </w:num>
  <w:num w:numId="2">
    <w:abstractNumId w:val="3"/>
  </w:num>
  <w:num w:numId="3">
    <w:abstractNumId w:val="2"/>
  </w:num>
  <w:num w:numId="4">
    <w:abstractNumId w:val="1"/>
  </w:num>
  <w:num w:numId="5">
    <w:abstractNumId w:val="0"/>
  </w:num>
  <w:num w:numId="6">
    <w:abstractNumId w:val="12"/>
  </w:num>
  <w:num w:numId="7">
    <w:abstractNumId w:val="24"/>
  </w:num>
  <w:num w:numId="8">
    <w:abstractNumId w:val="27"/>
  </w:num>
  <w:num w:numId="9">
    <w:abstractNumId w:val="5"/>
  </w:num>
  <w:num w:numId="10">
    <w:abstractNumId w:val="10"/>
  </w:num>
  <w:num w:numId="11">
    <w:abstractNumId w:val="19"/>
  </w:num>
  <w:num w:numId="12">
    <w:abstractNumId w:val="11"/>
  </w:num>
  <w:num w:numId="13">
    <w:abstractNumId w:val="6"/>
  </w:num>
  <w:num w:numId="14">
    <w:abstractNumId w:val="36"/>
  </w:num>
  <w:num w:numId="15">
    <w:abstractNumId w:val="38"/>
  </w:num>
  <w:num w:numId="16">
    <w:abstractNumId w:val="25"/>
  </w:num>
  <w:num w:numId="17">
    <w:abstractNumId w:val="46"/>
  </w:num>
  <w:num w:numId="18">
    <w:abstractNumId w:val="23"/>
  </w:num>
  <w:num w:numId="19">
    <w:abstractNumId w:val="43"/>
  </w:num>
  <w:num w:numId="20">
    <w:abstractNumId w:val="39"/>
  </w:num>
  <w:num w:numId="21">
    <w:abstractNumId w:val="20"/>
  </w:num>
  <w:num w:numId="22">
    <w:abstractNumId w:val="35"/>
  </w:num>
  <w:num w:numId="23">
    <w:abstractNumId w:val="14"/>
  </w:num>
  <w:num w:numId="24">
    <w:abstractNumId w:val="15"/>
  </w:num>
  <w:num w:numId="25">
    <w:abstractNumId w:val="33"/>
  </w:num>
  <w:num w:numId="26">
    <w:abstractNumId w:val="41"/>
  </w:num>
  <w:num w:numId="27">
    <w:abstractNumId w:val="9"/>
  </w:num>
  <w:num w:numId="28">
    <w:abstractNumId w:val="30"/>
  </w:num>
  <w:num w:numId="29">
    <w:abstractNumId w:val="29"/>
  </w:num>
  <w:num w:numId="30">
    <w:abstractNumId w:val="45"/>
  </w:num>
  <w:num w:numId="31">
    <w:abstractNumId w:val="22"/>
  </w:num>
  <w:num w:numId="32">
    <w:abstractNumId w:val="34"/>
  </w:num>
  <w:num w:numId="33">
    <w:abstractNumId w:val="44"/>
  </w:num>
  <w:num w:numId="34">
    <w:abstractNumId w:val="32"/>
  </w:num>
  <w:num w:numId="35">
    <w:abstractNumId w:val="37"/>
  </w:num>
  <w:num w:numId="36">
    <w:abstractNumId w:val="42"/>
  </w:num>
  <w:num w:numId="37">
    <w:abstractNumId w:val="48"/>
  </w:num>
  <w:num w:numId="38">
    <w:abstractNumId w:val="16"/>
  </w:num>
  <w:num w:numId="39">
    <w:abstractNumId w:val="7"/>
  </w:num>
  <w:num w:numId="40">
    <w:abstractNumId w:val="31"/>
  </w:num>
  <w:num w:numId="41">
    <w:abstractNumId w:val="26"/>
  </w:num>
  <w:num w:numId="42">
    <w:abstractNumId w:val="21"/>
  </w:num>
  <w:num w:numId="43">
    <w:abstractNumId w:val="13"/>
  </w:num>
  <w:num w:numId="44">
    <w:abstractNumId w:val="40"/>
  </w:num>
  <w:num w:numId="45">
    <w:abstractNumId w:val="18"/>
  </w:num>
  <w:num w:numId="46">
    <w:abstractNumId w:val="47"/>
  </w:num>
  <w:num w:numId="47">
    <w:abstractNumId w:val="28"/>
  </w:num>
  <w:num w:numId="48">
    <w:abstractNumId w:val="17"/>
  </w:num>
  <w:num w:numId="49">
    <w:abstractNumId w:val="8"/>
  </w:num>
  <w:num w:numId="50">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ttachedTemplate r:id="rId1"/>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7067"/>
    <w:rsid w:val="00001272"/>
    <w:rsid w:val="000013CA"/>
    <w:rsid w:val="0000445D"/>
    <w:rsid w:val="000056BC"/>
    <w:rsid w:val="00010258"/>
    <w:rsid w:val="000107A4"/>
    <w:rsid w:val="00012254"/>
    <w:rsid w:val="00016072"/>
    <w:rsid w:val="00024DCD"/>
    <w:rsid w:val="00026F74"/>
    <w:rsid w:val="00030B5F"/>
    <w:rsid w:val="0003296E"/>
    <w:rsid w:val="00035B36"/>
    <w:rsid w:val="000371E9"/>
    <w:rsid w:val="000420D0"/>
    <w:rsid w:val="00042DE5"/>
    <w:rsid w:val="00043216"/>
    <w:rsid w:val="00043C2B"/>
    <w:rsid w:val="00045104"/>
    <w:rsid w:val="000532A5"/>
    <w:rsid w:val="000533A2"/>
    <w:rsid w:val="00056697"/>
    <w:rsid w:val="000600CC"/>
    <w:rsid w:val="00060E4F"/>
    <w:rsid w:val="000636FA"/>
    <w:rsid w:val="00064786"/>
    <w:rsid w:val="000657A4"/>
    <w:rsid w:val="000658D9"/>
    <w:rsid w:val="00067B4E"/>
    <w:rsid w:val="0007252F"/>
    <w:rsid w:val="00072961"/>
    <w:rsid w:val="00076460"/>
    <w:rsid w:val="0007674A"/>
    <w:rsid w:val="000848BB"/>
    <w:rsid w:val="00084B55"/>
    <w:rsid w:val="00091676"/>
    <w:rsid w:val="00093459"/>
    <w:rsid w:val="000A0275"/>
    <w:rsid w:val="000A1ADD"/>
    <w:rsid w:val="000A5837"/>
    <w:rsid w:val="000B3615"/>
    <w:rsid w:val="000B707B"/>
    <w:rsid w:val="000B7904"/>
    <w:rsid w:val="000C3226"/>
    <w:rsid w:val="000C584F"/>
    <w:rsid w:val="000C6213"/>
    <w:rsid w:val="000D2153"/>
    <w:rsid w:val="000D3E23"/>
    <w:rsid w:val="000D580C"/>
    <w:rsid w:val="000D6C39"/>
    <w:rsid w:val="000E59B7"/>
    <w:rsid w:val="000E5EBE"/>
    <w:rsid w:val="000E776F"/>
    <w:rsid w:val="000F0BC6"/>
    <w:rsid w:val="000F164D"/>
    <w:rsid w:val="00100770"/>
    <w:rsid w:val="00103A67"/>
    <w:rsid w:val="001046DB"/>
    <w:rsid w:val="0010511E"/>
    <w:rsid w:val="00107286"/>
    <w:rsid w:val="0011044E"/>
    <w:rsid w:val="00117E98"/>
    <w:rsid w:val="00120392"/>
    <w:rsid w:val="00124889"/>
    <w:rsid w:val="00126970"/>
    <w:rsid w:val="00126F4C"/>
    <w:rsid w:val="0013063D"/>
    <w:rsid w:val="0013086B"/>
    <w:rsid w:val="00132756"/>
    <w:rsid w:val="00133CC5"/>
    <w:rsid w:val="001372B6"/>
    <w:rsid w:val="00162FB2"/>
    <w:rsid w:val="0016530F"/>
    <w:rsid w:val="00170FBE"/>
    <w:rsid w:val="00172824"/>
    <w:rsid w:val="00172A53"/>
    <w:rsid w:val="0017349F"/>
    <w:rsid w:val="00174797"/>
    <w:rsid w:val="001747D9"/>
    <w:rsid w:val="00180613"/>
    <w:rsid w:val="00183475"/>
    <w:rsid w:val="00185C72"/>
    <w:rsid w:val="0019320D"/>
    <w:rsid w:val="00193338"/>
    <w:rsid w:val="0019393C"/>
    <w:rsid w:val="00193D28"/>
    <w:rsid w:val="001A7E9D"/>
    <w:rsid w:val="001B0638"/>
    <w:rsid w:val="001B1354"/>
    <w:rsid w:val="001B7342"/>
    <w:rsid w:val="001D45B0"/>
    <w:rsid w:val="001D5782"/>
    <w:rsid w:val="001D617A"/>
    <w:rsid w:val="001D695F"/>
    <w:rsid w:val="001E5014"/>
    <w:rsid w:val="001E71B8"/>
    <w:rsid w:val="001E7E42"/>
    <w:rsid w:val="001F00EC"/>
    <w:rsid w:val="001F1C0B"/>
    <w:rsid w:val="001F3CB5"/>
    <w:rsid w:val="001F5A45"/>
    <w:rsid w:val="001F6E9E"/>
    <w:rsid w:val="001F7658"/>
    <w:rsid w:val="002014B6"/>
    <w:rsid w:val="00203BDC"/>
    <w:rsid w:val="002048E3"/>
    <w:rsid w:val="00207679"/>
    <w:rsid w:val="002109B9"/>
    <w:rsid w:val="00215273"/>
    <w:rsid w:val="00230DDD"/>
    <w:rsid w:val="002335C3"/>
    <w:rsid w:val="00236C9F"/>
    <w:rsid w:val="00240057"/>
    <w:rsid w:val="0024294A"/>
    <w:rsid w:val="00244101"/>
    <w:rsid w:val="0025045B"/>
    <w:rsid w:val="00252249"/>
    <w:rsid w:val="00257643"/>
    <w:rsid w:val="00264F81"/>
    <w:rsid w:val="00266E17"/>
    <w:rsid w:val="0027184E"/>
    <w:rsid w:val="00273946"/>
    <w:rsid w:val="002755B8"/>
    <w:rsid w:val="00275F60"/>
    <w:rsid w:val="00276CE5"/>
    <w:rsid w:val="002775EB"/>
    <w:rsid w:val="0028115F"/>
    <w:rsid w:val="002821D9"/>
    <w:rsid w:val="002830E1"/>
    <w:rsid w:val="0029227C"/>
    <w:rsid w:val="002A6111"/>
    <w:rsid w:val="002A6DB5"/>
    <w:rsid w:val="002B453A"/>
    <w:rsid w:val="002B5689"/>
    <w:rsid w:val="002C3355"/>
    <w:rsid w:val="002C55E3"/>
    <w:rsid w:val="002D4FF3"/>
    <w:rsid w:val="002D5B8F"/>
    <w:rsid w:val="002D7800"/>
    <w:rsid w:val="002E45D1"/>
    <w:rsid w:val="002E46C4"/>
    <w:rsid w:val="002E48AD"/>
    <w:rsid w:val="002E5FFC"/>
    <w:rsid w:val="002E7439"/>
    <w:rsid w:val="002F2B0A"/>
    <w:rsid w:val="0031113D"/>
    <w:rsid w:val="00313CF1"/>
    <w:rsid w:val="00323718"/>
    <w:rsid w:val="00327000"/>
    <w:rsid w:val="00327B06"/>
    <w:rsid w:val="0033067C"/>
    <w:rsid w:val="00337CEA"/>
    <w:rsid w:val="00340989"/>
    <w:rsid w:val="00341581"/>
    <w:rsid w:val="00345F93"/>
    <w:rsid w:val="00347C70"/>
    <w:rsid w:val="0035008A"/>
    <w:rsid w:val="003523DF"/>
    <w:rsid w:val="00355400"/>
    <w:rsid w:val="003557FA"/>
    <w:rsid w:val="0035663E"/>
    <w:rsid w:val="00360CCA"/>
    <w:rsid w:val="0037339D"/>
    <w:rsid w:val="00373F61"/>
    <w:rsid w:val="003753EF"/>
    <w:rsid w:val="00381306"/>
    <w:rsid w:val="00383C07"/>
    <w:rsid w:val="003846BB"/>
    <w:rsid w:val="003871EE"/>
    <w:rsid w:val="003915AC"/>
    <w:rsid w:val="00391F48"/>
    <w:rsid w:val="00392122"/>
    <w:rsid w:val="00395098"/>
    <w:rsid w:val="00395AF2"/>
    <w:rsid w:val="003970A8"/>
    <w:rsid w:val="003A2DCF"/>
    <w:rsid w:val="003A46C5"/>
    <w:rsid w:val="003A50F0"/>
    <w:rsid w:val="003B591E"/>
    <w:rsid w:val="003B610A"/>
    <w:rsid w:val="003B61F8"/>
    <w:rsid w:val="003C1E9C"/>
    <w:rsid w:val="003C3158"/>
    <w:rsid w:val="003C5F17"/>
    <w:rsid w:val="003D3432"/>
    <w:rsid w:val="003D477C"/>
    <w:rsid w:val="003D7813"/>
    <w:rsid w:val="003E059D"/>
    <w:rsid w:val="003E2D6F"/>
    <w:rsid w:val="003E333A"/>
    <w:rsid w:val="003E64D5"/>
    <w:rsid w:val="003F562B"/>
    <w:rsid w:val="003F7DB5"/>
    <w:rsid w:val="00405778"/>
    <w:rsid w:val="00405941"/>
    <w:rsid w:val="0040669E"/>
    <w:rsid w:val="00407FAB"/>
    <w:rsid w:val="004136C0"/>
    <w:rsid w:val="00414AD1"/>
    <w:rsid w:val="00415A03"/>
    <w:rsid w:val="0041644D"/>
    <w:rsid w:val="004179E5"/>
    <w:rsid w:val="00420CBF"/>
    <w:rsid w:val="00426138"/>
    <w:rsid w:val="0043220E"/>
    <w:rsid w:val="00432A46"/>
    <w:rsid w:val="004351CE"/>
    <w:rsid w:val="0043798C"/>
    <w:rsid w:val="00440B66"/>
    <w:rsid w:val="004438A5"/>
    <w:rsid w:val="00443C9C"/>
    <w:rsid w:val="00444C45"/>
    <w:rsid w:val="0044599E"/>
    <w:rsid w:val="00445EB8"/>
    <w:rsid w:val="00446769"/>
    <w:rsid w:val="00451E55"/>
    <w:rsid w:val="004617BE"/>
    <w:rsid w:val="00461AF6"/>
    <w:rsid w:val="00470AA8"/>
    <w:rsid w:val="00472A0D"/>
    <w:rsid w:val="004758E5"/>
    <w:rsid w:val="004774F3"/>
    <w:rsid w:val="0048717B"/>
    <w:rsid w:val="00491C30"/>
    <w:rsid w:val="0049440E"/>
    <w:rsid w:val="004A0685"/>
    <w:rsid w:val="004A198E"/>
    <w:rsid w:val="004A2899"/>
    <w:rsid w:val="004B44E3"/>
    <w:rsid w:val="004B5544"/>
    <w:rsid w:val="004B5B46"/>
    <w:rsid w:val="004C2BF7"/>
    <w:rsid w:val="004C6A40"/>
    <w:rsid w:val="004D0C71"/>
    <w:rsid w:val="004D284F"/>
    <w:rsid w:val="004D49A3"/>
    <w:rsid w:val="004D77B1"/>
    <w:rsid w:val="004E0669"/>
    <w:rsid w:val="004E0B15"/>
    <w:rsid w:val="004E1585"/>
    <w:rsid w:val="004E5028"/>
    <w:rsid w:val="004E5F38"/>
    <w:rsid w:val="004E67B8"/>
    <w:rsid w:val="004E74E6"/>
    <w:rsid w:val="004E778D"/>
    <w:rsid w:val="004F00DC"/>
    <w:rsid w:val="004F0DFE"/>
    <w:rsid w:val="004F1193"/>
    <w:rsid w:val="004F1305"/>
    <w:rsid w:val="004F13FF"/>
    <w:rsid w:val="004F1F52"/>
    <w:rsid w:val="004F5CC2"/>
    <w:rsid w:val="004F79A7"/>
    <w:rsid w:val="004F7F82"/>
    <w:rsid w:val="0050079D"/>
    <w:rsid w:val="00504468"/>
    <w:rsid w:val="00504EDD"/>
    <w:rsid w:val="0051126B"/>
    <w:rsid w:val="00513638"/>
    <w:rsid w:val="0051425D"/>
    <w:rsid w:val="005147B5"/>
    <w:rsid w:val="005204BF"/>
    <w:rsid w:val="00522DED"/>
    <w:rsid w:val="00530C73"/>
    <w:rsid w:val="00531645"/>
    <w:rsid w:val="005328A3"/>
    <w:rsid w:val="00540024"/>
    <w:rsid w:val="00540AAC"/>
    <w:rsid w:val="00550C45"/>
    <w:rsid w:val="00551D72"/>
    <w:rsid w:val="00557437"/>
    <w:rsid w:val="0056398C"/>
    <w:rsid w:val="00566E1E"/>
    <w:rsid w:val="005766C3"/>
    <w:rsid w:val="00577071"/>
    <w:rsid w:val="00577601"/>
    <w:rsid w:val="00581980"/>
    <w:rsid w:val="00583F71"/>
    <w:rsid w:val="005915E7"/>
    <w:rsid w:val="005920B4"/>
    <w:rsid w:val="00592EEC"/>
    <w:rsid w:val="005957F9"/>
    <w:rsid w:val="00597E1C"/>
    <w:rsid w:val="00597F6C"/>
    <w:rsid w:val="005A15DF"/>
    <w:rsid w:val="005A49CB"/>
    <w:rsid w:val="005B1B38"/>
    <w:rsid w:val="005B394F"/>
    <w:rsid w:val="005B3972"/>
    <w:rsid w:val="005B453E"/>
    <w:rsid w:val="005B53EE"/>
    <w:rsid w:val="005B7709"/>
    <w:rsid w:val="005C5AD4"/>
    <w:rsid w:val="005C7FCA"/>
    <w:rsid w:val="005D39C6"/>
    <w:rsid w:val="005D7114"/>
    <w:rsid w:val="005F410E"/>
    <w:rsid w:val="005F50D1"/>
    <w:rsid w:val="006006F2"/>
    <w:rsid w:val="00600E28"/>
    <w:rsid w:val="00606429"/>
    <w:rsid w:val="006145F1"/>
    <w:rsid w:val="0061657A"/>
    <w:rsid w:val="006261AC"/>
    <w:rsid w:val="006266C6"/>
    <w:rsid w:val="006325C5"/>
    <w:rsid w:val="00633B9E"/>
    <w:rsid w:val="00634043"/>
    <w:rsid w:val="006364C6"/>
    <w:rsid w:val="00650004"/>
    <w:rsid w:val="006540E0"/>
    <w:rsid w:val="00654152"/>
    <w:rsid w:val="00661249"/>
    <w:rsid w:val="00662315"/>
    <w:rsid w:val="0066304E"/>
    <w:rsid w:val="00667FC5"/>
    <w:rsid w:val="006703EB"/>
    <w:rsid w:val="006710D9"/>
    <w:rsid w:val="006717BC"/>
    <w:rsid w:val="00674424"/>
    <w:rsid w:val="0067456F"/>
    <w:rsid w:val="00676AFA"/>
    <w:rsid w:val="00677139"/>
    <w:rsid w:val="00677503"/>
    <w:rsid w:val="00677864"/>
    <w:rsid w:val="00677D61"/>
    <w:rsid w:val="00681EB2"/>
    <w:rsid w:val="00694C27"/>
    <w:rsid w:val="006A6077"/>
    <w:rsid w:val="006A7354"/>
    <w:rsid w:val="006A770E"/>
    <w:rsid w:val="006B42FD"/>
    <w:rsid w:val="006B6F31"/>
    <w:rsid w:val="006C359F"/>
    <w:rsid w:val="006C3836"/>
    <w:rsid w:val="006C443A"/>
    <w:rsid w:val="006C5377"/>
    <w:rsid w:val="006D5D3F"/>
    <w:rsid w:val="006D5DCC"/>
    <w:rsid w:val="006D79CE"/>
    <w:rsid w:val="006E185D"/>
    <w:rsid w:val="006E1C5C"/>
    <w:rsid w:val="006E6E54"/>
    <w:rsid w:val="006F055A"/>
    <w:rsid w:val="006F0946"/>
    <w:rsid w:val="006F2417"/>
    <w:rsid w:val="006F64C7"/>
    <w:rsid w:val="006F7067"/>
    <w:rsid w:val="0070029E"/>
    <w:rsid w:val="0070144E"/>
    <w:rsid w:val="00704D7F"/>
    <w:rsid w:val="007056CF"/>
    <w:rsid w:val="00710224"/>
    <w:rsid w:val="0071116D"/>
    <w:rsid w:val="007222C4"/>
    <w:rsid w:val="00726233"/>
    <w:rsid w:val="007316A3"/>
    <w:rsid w:val="007326D0"/>
    <w:rsid w:val="007403BD"/>
    <w:rsid w:val="007405D1"/>
    <w:rsid w:val="00740E25"/>
    <w:rsid w:val="00740F95"/>
    <w:rsid w:val="00743718"/>
    <w:rsid w:val="00745E9C"/>
    <w:rsid w:val="007464C1"/>
    <w:rsid w:val="0075612B"/>
    <w:rsid w:val="00757955"/>
    <w:rsid w:val="0076144B"/>
    <w:rsid w:val="00761D23"/>
    <w:rsid w:val="007621B8"/>
    <w:rsid w:val="0076456D"/>
    <w:rsid w:val="007649E2"/>
    <w:rsid w:val="00767DDE"/>
    <w:rsid w:val="007703EB"/>
    <w:rsid w:val="00771EF0"/>
    <w:rsid w:val="00772F1A"/>
    <w:rsid w:val="00775B74"/>
    <w:rsid w:val="0078100A"/>
    <w:rsid w:val="007827F4"/>
    <w:rsid w:val="0078441E"/>
    <w:rsid w:val="00785678"/>
    <w:rsid w:val="00787A4D"/>
    <w:rsid w:val="0079019F"/>
    <w:rsid w:val="00792695"/>
    <w:rsid w:val="00794336"/>
    <w:rsid w:val="00797849"/>
    <w:rsid w:val="00797F44"/>
    <w:rsid w:val="007A4AD3"/>
    <w:rsid w:val="007A7770"/>
    <w:rsid w:val="007B5CCA"/>
    <w:rsid w:val="007C2B1C"/>
    <w:rsid w:val="007C395F"/>
    <w:rsid w:val="007C42B3"/>
    <w:rsid w:val="007C7159"/>
    <w:rsid w:val="007D3C62"/>
    <w:rsid w:val="007E3C27"/>
    <w:rsid w:val="007E457F"/>
    <w:rsid w:val="007E5999"/>
    <w:rsid w:val="007E6734"/>
    <w:rsid w:val="007E77FC"/>
    <w:rsid w:val="007E7E73"/>
    <w:rsid w:val="007F2D09"/>
    <w:rsid w:val="00805C7F"/>
    <w:rsid w:val="0081782B"/>
    <w:rsid w:val="008224B6"/>
    <w:rsid w:val="0082443B"/>
    <w:rsid w:val="00824FA6"/>
    <w:rsid w:val="00826FF3"/>
    <w:rsid w:val="00827F2B"/>
    <w:rsid w:val="00830549"/>
    <w:rsid w:val="0083162A"/>
    <w:rsid w:val="00831B88"/>
    <w:rsid w:val="00831F25"/>
    <w:rsid w:val="00832481"/>
    <w:rsid w:val="008339C1"/>
    <w:rsid w:val="008340B8"/>
    <w:rsid w:val="00835CC4"/>
    <w:rsid w:val="008376A2"/>
    <w:rsid w:val="00841428"/>
    <w:rsid w:val="0084742D"/>
    <w:rsid w:val="008547AA"/>
    <w:rsid w:val="008578C9"/>
    <w:rsid w:val="00860E40"/>
    <w:rsid w:val="0086264D"/>
    <w:rsid w:val="00866F52"/>
    <w:rsid w:val="008733A0"/>
    <w:rsid w:val="0087438B"/>
    <w:rsid w:val="00875DD5"/>
    <w:rsid w:val="008770F7"/>
    <w:rsid w:val="008803F2"/>
    <w:rsid w:val="00883274"/>
    <w:rsid w:val="008925C2"/>
    <w:rsid w:val="00897C3D"/>
    <w:rsid w:val="008A2DF3"/>
    <w:rsid w:val="008B0E2B"/>
    <w:rsid w:val="008B43D4"/>
    <w:rsid w:val="008B495B"/>
    <w:rsid w:val="008B7FD9"/>
    <w:rsid w:val="008C22C1"/>
    <w:rsid w:val="008C42A6"/>
    <w:rsid w:val="008C50D0"/>
    <w:rsid w:val="008C6991"/>
    <w:rsid w:val="008C7844"/>
    <w:rsid w:val="008D292A"/>
    <w:rsid w:val="008D7FEF"/>
    <w:rsid w:val="008E12A4"/>
    <w:rsid w:val="008E421D"/>
    <w:rsid w:val="008E7029"/>
    <w:rsid w:val="008E725F"/>
    <w:rsid w:val="008F02C1"/>
    <w:rsid w:val="008F0F07"/>
    <w:rsid w:val="008F1569"/>
    <w:rsid w:val="008F1BA6"/>
    <w:rsid w:val="008F4F9D"/>
    <w:rsid w:val="00900B00"/>
    <w:rsid w:val="00904E0A"/>
    <w:rsid w:val="00913AA5"/>
    <w:rsid w:val="00915164"/>
    <w:rsid w:val="00921D00"/>
    <w:rsid w:val="00924ECD"/>
    <w:rsid w:val="00925CCC"/>
    <w:rsid w:val="00926C81"/>
    <w:rsid w:val="00931992"/>
    <w:rsid w:val="00934181"/>
    <w:rsid w:val="00945A38"/>
    <w:rsid w:val="009518A8"/>
    <w:rsid w:val="00954DC0"/>
    <w:rsid w:val="009609DE"/>
    <w:rsid w:val="00961C68"/>
    <w:rsid w:val="00961E58"/>
    <w:rsid w:val="00961EA5"/>
    <w:rsid w:val="00963555"/>
    <w:rsid w:val="00964329"/>
    <w:rsid w:val="009707A7"/>
    <w:rsid w:val="0097184C"/>
    <w:rsid w:val="00972A8B"/>
    <w:rsid w:val="00972FBE"/>
    <w:rsid w:val="00977C2B"/>
    <w:rsid w:val="009829EB"/>
    <w:rsid w:val="00984FA2"/>
    <w:rsid w:val="00991936"/>
    <w:rsid w:val="009924BA"/>
    <w:rsid w:val="009A44D4"/>
    <w:rsid w:val="009A4D5E"/>
    <w:rsid w:val="009A5A23"/>
    <w:rsid w:val="009A68B9"/>
    <w:rsid w:val="009B7D6C"/>
    <w:rsid w:val="009C3253"/>
    <w:rsid w:val="009C4949"/>
    <w:rsid w:val="009D58C1"/>
    <w:rsid w:val="009E305C"/>
    <w:rsid w:val="009E7801"/>
    <w:rsid w:val="009F1CC8"/>
    <w:rsid w:val="009F2BB7"/>
    <w:rsid w:val="009F5B39"/>
    <w:rsid w:val="009F6CC7"/>
    <w:rsid w:val="009F72BC"/>
    <w:rsid w:val="009F7888"/>
    <w:rsid w:val="00A0058E"/>
    <w:rsid w:val="00A01CB2"/>
    <w:rsid w:val="00A04AF7"/>
    <w:rsid w:val="00A16493"/>
    <w:rsid w:val="00A33164"/>
    <w:rsid w:val="00A33B2D"/>
    <w:rsid w:val="00A352C9"/>
    <w:rsid w:val="00A37153"/>
    <w:rsid w:val="00A37637"/>
    <w:rsid w:val="00A43641"/>
    <w:rsid w:val="00A43BD1"/>
    <w:rsid w:val="00A46407"/>
    <w:rsid w:val="00A533E4"/>
    <w:rsid w:val="00A54711"/>
    <w:rsid w:val="00A55B3F"/>
    <w:rsid w:val="00A5657B"/>
    <w:rsid w:val="00A60351"/>
    <w:rsid w:val="00A60F7E"/>
    <w:rsid w:val="00A61BF9"/>
    <w:rsid w:val="00A811E3"/>
    <w:rsid w:val="00A811F5"/>
    <w:rsid w:val="00A8123D"/>
    <w:rsid w:val="00A855CF"/>
    <w:rsid w:val="00A90B65"/>
    <w:rsid w:val="00A944EB"/>
    <w:rsid w:val="00A96F79"/>
    <w:rsid w:val="00AA035C"/>
    <w:rsid w:val="00AA3A0A"/>
    <w:rsid w:val="00AA5129"/>
    <w:rsid w:val="00AA6B55"/>
    <w:rsid w:val="00AA7449"/>
    <w:rsid w:val="00AB04AA"/>
    <w:rsid w:val="00AB2417"/>
    <w:rsid w:val="00AB39F4"/>
    <w:rsid w:val="00AB4DB2"/>
    <w:rsid w:val="00AB5C47"/>
    <w:rsid w:val="00AB7BAA"/>
    <w:rsid w:val="00AC11D3"/>
    <w:rsid w:val="00AC1773"/>
    <w:rsid w:val="00AC25FB"/>
    <w:rsid w:val="00AC598D"/>
    <w:rsid w:val="00AC7440"/>
    <w:rsid w:val="00AD04FC"/>
    <w:rsid w:val="00AD1A81"/>
    <w:rsid w:val="00AD506A"/>
    <w:rsid w:val="00AD74CC"/>
    <w:rsid w:val="00AE06B7"/>
    <w:rsid w:val="00AE120F"/>
    <w:rsid w:val="00AE2186"/>
    <w:rsid w:val="00AE6BEA"/>
    <w:rsid w:val="00AF195A"/>
    <w:rsid w:val="00AF1BEC"/>
    <w:rsid w:val="00AF31D1"/>
    <w:rsid w:val="00AF77B9"/>
    <w:rsid w:val="00B02DDB"/>
    <w:rsid w:val="00B065B4"/>
    <w:rsid w:val="00B10B08"/>
    <w:rsid w:val="00B1223E"/>
    <w:rsid w:val="00B122E9"/>
    <w:rsid w:val="00B1555C"/>
    <w:rsid w:val="00B2375C"/>
    <w:rsid w:val="00B23DDA"/>
    <w:rsid w:val="00B3186D"/>
    <w:rsid w:val="00B34B8E"/>
    <w:rsid w:val="00B36A10"/>
    <w:rsid w:val="00B40B59"/>
    <w:rsid w:val="00B4291C"/>
    <w:rsid w:val="00B43E57"/>
    <w:rsid w:val="00B44796"/>
    <w:rsid w:val="00B458E7"/>
    <w:rsid w:val="00B471FA"/>
    <w:rsid w:val="00B47E93"/>
    <w:rsid w:val="00B50C2F"/>
    <w:rsid w:val="00B51D90"/>
    <w:rsid w:val="00B5229B"/>
    <w:rsid w:val="00B53A29"/>
    <w:rsid w:val="00B53CF1"/>
    <w:rsid w:val="00B548FB"/>
    <w:rsid w:val="00B55DB4"/>
    <w:rsid w:val="00B57993"/>
    <w:rsid w:val="00B65A13"/>
    <w:rsid w:val="00B66DA7"/>
    <w:rsid w:val="00B72ADC"/>
    <w:rsid w:val="00B74497"/>
    <w:rsid w:val="00B81DAB"/>
    <w:rsid w:val="00B8361D"/>
    <w:rsid w:val="00B839E2"/>
    <w:rsid w:val="00B84859"/>
    <w:rsid w:val="00B9545B"/>
    <w:rsid w:val="00B95D08"/>
    <w:rsid w:val="00B95FC0"/>
    <w:rsid w:val="00BA7F39"/>
    <w:rsid w:val="00BB14D3"/>
    <w:rsid w:val="00BB389D"/>
    <w:rsid w:val="00BB4F65"/>
    <w:rsid w:val="00BC2E3B"/>
    <w:rsid w:val="00BC6E54"/>
    <w:rsid w:val="00BD394B"/>
    <w:rsid w:val="00BD5371"/>
    <w:rsid w:val="00BE0787"/>
    <w:rsid w:val="00BE2F4B"/>
    <w:rsid w:val="00BF16BA"/>
    <w:rsid w:val="00BF51E1"/>
    <w:rsid w:val="00C00370"/>
    <w:rsid w:val="00C042DC"/>
    <w:rsid w:val="00C11FFE"/>
    <w:rsid w:val="00C13136"/>
    <w:rsid w:val="00C21224"/>
    <w:rsid w:val="00C24ACD"/>
    <w:rsid w:val="00C275DD"/>
    <w:rsid w:val="00C316D4"/>
    <w:rsid w:val="00C405CF"/>
    <w:rsid w:val="00C41DBB"/>
    <w:rsid w:val="00C462ED"/>
    <w:rsid w:val="00C53453"/>
    <w:rsid w:val="00C578D6"/>
    <w:rsid w:val="00C603A6"/>
    <w:rsid w:val="00C60996"/>
    <w:rsid w:val="00C618B9"/>
    <w:rsid w:val="00C64112"/>
    <w:rsid w:val="00C64883"/>
    <w:rsid w:val="00C7007B"/>
    <w:rsid w:val="00C74296"/>
    <w:rsid w:val="00C76778"/>
    <w:rsid w:val="00C76DAC"/>
    <w:rsid w:val="00C76FE5"/>
    <w:rsid w:val="00C85366"/>
    <w:rsid w:val="00C903AA"/>
    <w:rsid w:val="00C90A70"/>
    <w:rsid w:val="00C91BAC"/>
    <w:rsid w:val="00C935C0"/>
    <w:rsid w:val="00C951DB"/>
    <w:rsid w:val="00CA1754"/>
    <w:rsid w:val="00CB1752"/>
    <w:rsid w:val="00CB211E"/>
    <w:rsid w:val="00CB2DF5"/>
    <w:rsid w:val="00CB44DF"/>
    <w:rsid w:val="00CB5FBE"/>
    <w:rsid w:val="00CC416C"/>
    <w:rsid w:val="00CC5772"/>
    <w:rsid w:val="00CD1DDD"/>
    <w:rsid w:val="00CD2179"/>
    <w:rsid w:val="00CD3A68"/>
    <w:rsid w:val="00CD455F"/>
    <w:rsid w:val="00CD629E"/>
    <w:rsid w:val="00CD630C"/>
    <w:rsid w:val="00CE03CA"/>
    <w:rsid w:val="00CE0504"/>
    <w:rsid w:val="00CE1270"/>
    <w:rsid w:val="00CE14CB"/>
    <w:rsid w:val="00CE2048"/>
    <w:rsid w:val="00CE2820"/>
    <w:rsid w:val="00CE542E"/>
    <w:rsid w:val="00CF0517"/>
    <w:rsid w:val="00CF6E94"/>
    <w:rsid w:val="00CF7505"/>
    <w:rsid w:val="00CF7636"/>
    <w:rsid w:val="00CF77B7"/>
    <w:rsid w:val="00D01977"/>
    <w:rsid w:val="00D01B67"/>
    <w:rsid w:val="00D0426C"/>
    <w:rsid w:val="00D11766"/>
    <w:rsid w:val="00D12532"/>
    <w:rsid w:val="00D13FD3"/>
    <w:rsid w:val="00D142EC"/>
    <w:rsid w:val="00D21C42"/>
    <w:rsid w:val="00D22457"/>
    <w:rsid w:val="00D26F94"/>
    <w:rsid w:val="00D307F1"/>
    <w:rsid w:val="00D313A8"/>
    <w:rsid w:val="00D31911"/>
    <w:rsid w:val="00D32526"/>
    <w:rsid w:val="00D36ABC"/>
    <w:rsid w:val="00D4140B"/>
    <w:rsid w:val="00D44AE4"/>
    <w:rsid w:val="00D463F2"/>
    <w:rsid w:val="00D47F14"/>
    <w:rsid w:val="00D53180"/>
    <w:rsid w:val="00D53C30"/>
    <w:rsid w:val="00D5657B"/>
    <w:rsid w:val="00D566B1"/>
    <w:rsid w:val="00D65E15"/>
    <w:rsid w:val="00D67C4C"/>
    <w:rsid w:val="00D74385"/>
    <w:rsid w:val="00D7472D"/>
    <w:rsid w:val="00D75AF5"/>
    <w:rsid w:val="00D76191"/>
    <w:rsid w:val="00D77F4A"/>
    <w:rsid w:val="00D77F80"/>
    <w:rsid w:val="00D80EA7"/>
    <w:rsid w:val="00D81B8B"/>
    <w:rsid w:val="00D83C42"/>
    <w:rsid w:val="00D86D52"/>
    <w:rsid w:val="00D90428"/>
    <w:rsid w:val="00D91474"/>
    <w:rsid w:val="00D92C5C"/>
    <w:rsid w:val="00D954ED"/>
    <w:rsid w:val="00DA7F80"/>
    <w:rsid w:val="00DB1F8D"/>
    <w:rsid w:val="00DB3499"/>
    <w:rsid w:val="00DB45C3"/>
    <w:rsid w:val="00DB5F65"/>
    <w:rsid w:val="00DC025D"/>
    <w:rsid w:val="00DC05A8"/>
    <w:rsid w:val="00DC4946"/>
    <w:rsid w:val="00DD388D"/>
    <w:rsid w:val="00DE1DCB"/>
    <w:rsid w:val="00DF15CD"/>
    <w:rsid w:val="00E00645"/>
    <w:rsid w:val="00E02868"/>
    <w:rsid w:val="00E04C32"/>
    <w:rsid w:val="00E07CA8"/>
    <w:rsid w:val="00E25586"/>
    <w:rsid w:val="00E32AE7"/>
    <w:rsid w:val="00E33F9D"/>
    <w:rsid w:val="00E425B8"/>
    <w:rsid w:val="00E43A73"/>
    <w:rsid w:val="00E5201D"/>
    <w:rsid w:val="00E65D29"/>
    <w:rsid w:val="00E66BC4"/>
    <w:rsid w:val="00E76AFE"/>
    <w:rsid w:val="00E84AFC"/>
    <w:rsid w:val="00E8612C"/>
    <w:rsid w:val="00E86EDA"/>
    <w:rsid w:val="00E8754D"/>
    <w:rsid w:val="00E9307B"/>
    <w:rsid w:val="00E93FC6"/>
    <w:rsid w:val="00EA07C1"/>
    <w:rsid w:val="00EA3335"/>
    <w:rsid w:val="00EA37B4"/>
    <w:rsid w:val="00EB0CEC"/>
    <w:rsid w:val="00EB4121"/>
    <w:rsid w:val="00EB4B72"/>
    <w:rsid w:val="00EB634D"/>
    <w:rsid w:val="00EB6EB1"/>
    <w:rsid w:val="00EC00FE"/>
    <w:rsid w:val="00EC73C7"/>
    <w:rsid w:val="00ED2D03"/>
    <w:rsid w:val="00EF2938"/>
    <w:rsid w:val="00F05828"/>
    <w:rsid w:val="00F11EFB"/>
    <w:rsid w:val="00F13D8E"/>
    <w:rsid w:val="00F160D8"/>
    <w:rsid w:val="00F17A01"/>
    <w:rsid w:val="00F24BB9"/>
    <w:rsid w:val="00F2516E"/>
    <w:rsid w:val="00F25A93"/>
    <w:rsid w:val="00F26989"/>
    <w:rsid w:val="00F26C87"/>
    <w:rsid w:val="00F30856"/>
    <w:rsid w:val="00F333E7"/>
    <w:rsid w:val="00F338E8"/>
    <w:rsid w:val="00F36F81"/>
    <w:rsid w:val="00F37AA2"/>
    <w:rsid w:val="00F42AA1"/>
    <w:rsid w:val="00F52A42"/>
    <w:rsid w:val="00F5406B"/>
    <w:rsid w:val="00F5524A"/>
    <w:rsid w:val="00F556EE"/>
    <w:rsid w:val="00F5772F"/>
    <w:rsid w:val="00F606D6"/>
    <w:rsid w:val="00F6121E"/>
    <w:rsid w:val="00F642E8"/>
    <w:rsid w:val="00F6598D"/>
    <w:rsid w:val="00F6699D"/>
    <w:rsid w:val="00F7017D"/>
    <w:rsid w:val="00F702FE"/>
    <w:rsid w:val="00F76BF8"/>
    <w:rsid w:val="00F77C59"/>
    <w:rsid w:val="00F801A1"/>
    <w:rsid w:val="00F82813"/>
    <w:rsid w:val="00F90F66"/>
    <w:rsid w:val="00F9228F"/>
    <w:rsid w:val="00F936BC"/>
    <w:rsid w:val="00F939E7"/>
    <w:rsid w:val="00F9603D"/>
    <w:rsid w:val="00F96936"/>
    <w:rsid w:val="00FA235F"/>
    <w:rsid w:val="00FA290C"/>
    <w:rsid w:val="00FA2DE5"/>
    <w:rsid w:val="00FA7943"/>
    <w:rsid w:val="00FB1E52"/>
    <w:rsid w:val="00FB1F40"/>
    <w:rsid w:val="00FB33B4"/>
    <w:rsid w:val="00FB580E"/>
    <w:rsid w:val="00FB718D"/>
    <w:rsid w:val="00FC0635"/>
    <w:rsid w:val="00FD076A"/>
    <w:rsid w:val="00FD2581"/>
    <w:rsid w:val="00FD27FE"/>
    <w:rsid w:val="00FD2BEF"/>
    <w:rsid w:val="00FD7738"/>
    <w:rsid w:val="00FE0139"/>
    <w:rsid w:val="00FE1C06"/>
    <w:rsid w:val="00FE3241"/>
    <w:rsid w:val="00FE3BA8"/>
    <w:rsid w:val="00FE5E7B"/>
    <w:rsid w:val="00FF0A62"/>
    <w:rsid w:val="00FF2525"/>
    <w:rsid w:val="00FF39E7"/>
    <w:rsid w:val="00FF3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2BD336B7"/>
  <w15:docId w15:val="{17B910ED-7216-4564-B06C-060436D3D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Arial"/>
        <w:color w:val="AB054C" w:themeColor="hyperlink"/>
        <w:kern w:val="20"/>
        <w:sz w:val="22"/>
        <w:u w:val="single"/>
        <w:lang w:val="en-US" w:eastAsia="ja-JP"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18"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17A"/>
    <w:rPr>
      <w:rFonts w:ascii="Arial" w:hAnsi="Arial"/>
      <w:color w:val="auto"/>
      <w:u w:val="none"/>
    </w:rPr>
  </w:style>
  <w:style w:type="paragraph" w:styleId="Heading1">
    <w:name w:val="heading 1"/>
    <w:basedOn w:val="HeaderShaded"/>
    <w:next w:val="Normal"/>
    <w:link w:val="Heading1Char"/>
    <w:uiPriority w:val="1"/>
    <w:qFormat/>
    <w:rsid w:val="00043C2B"/>
    <w:pPr>
      <w:pBdr>
        <w:top w:val="single" w:sz="2" w:space="2" w:color="8A002E"/>
        <w:left w:val="single" w:sz="2" w:space="6" w:color="8A002E"/>
        <w:bottom w:val="single" w:sz="2" w:space="2" w:color="8A002E"/>
        <w:right w:val="single" w:sz="2" w:space="6" w:color="8A002E"/>
      </w:pBdr>
      <w:shd w:val="clear" w:color="auto" w:fill="AB054C"/>
      <w:spacing w:before="240" w:after="240"/>
      <w:outlineLvl w:val="0"/>
    </w:pPr>
    <w:rPr>
      <w:rFonts w:ascii="Arial" w:eastAsia="Times New Roman" w:hAnsi="Arial"/>
      <w:caps w:val="0"/>
    </w:rPr>
  </w:style>
  <w:style w:type="paragraph" w:styleId="Heading2">
    <w:name w:val="heading 2"/>
    <w:basedOn w:val="Normal"/>
    <w:next w:val="Normal"/>
    <w:link w:val="Heading2Char"/>
    <w:autoRedefine/>
    <w:uiPriority w:val="1"/>
    <w:unhideWhenUsed/>
    <w:qFormat/>
    <w:rsid w:val="007703EB"/>
    <w:pPr>
      <w:keepNext/>
      <w:keepLines/>
      <w:spacing w:before="0" w:after="0"/>
      <w:ind w:left="-142"/>
      <w:outlineLvl w:val="1"/>
    </w:pPr>
    <w:rPr>
      <w:rFonts w:ascii="Arial Bold" w:eastAsia="Times New Roman" w:hAnsi="Arial Bold"/>
      <w:i/>
      <w:color w:val="AB054C"/>
      <w:sz w:val="36"/>
      <w:szCs w:val="36"/>
      <w14:ligatures w14:val="standardContextual"/>
    </w:rPr>
  </w:style>
  <w:style w:type="paragraph" w:styleId="Heading3">
    <w:name w:val="heading 3"/>
    <w:basedOn w:val="Normal"/>
    <w:next w:val="Normal"/>
    <w:link w:val="Heading3Char"/>
    <w:autoRedefine/>
    <w:uiPriority w:val="1"/>
    <w:unhideWhenUsed/>
    <w:qFormat/>
    <w:rsid w:val="00913AA5"/>
    <w:pPr>
      <w:keepNext/>
      <w:keepLines/>
      <w:spacing w:before="240"/>
      <w:ind w:left="-142"/>
      <w:outlineLvl w:val="2"/>
    </w:pPr>
    <w:rPr>
      <w:rFonts w:ascii="Arial Bold" w:eastAsia="Calibri" w:hAnsi="Arial Bold"/>
      <w:b/>
      <w:bCs/>
      <w:sz w:val="28"/>
      <w14:ligatures w14:val="standardContextual"/>
    </w:rPr>
  </w:style>
  <w:style w:type="paragraph" w:styleId="Heading4">
    <w:name w:val="heading 4"/>
    <w:basedOn w:val="Normal"/>
    <w:next w:val="Normal"/>
    <w:link w:val="Heading4Char"/>
    <w:uiPriority w:val="18"/>
    <w:unhideWhenUsed/>
    <w:qFormat/>
    <w:rsid w:val="00043C2B"/>
    <w:pPr>
      <w:keepNext/>
      <w:keepLines/>
      <w:shd w:val="clear" w:color="auto" w:fill="AB054C"/>
      <w:spacing w:before="0" w:after="0"/>
      <w:outlineLvl w:val="3"/>
    </w:pPr>
    <w:rPr>
      <w:rFonts w:asciiTheme="minorHAnsi" w:eastAsiaTheme="majorEastAsia" w:hAnsiTheme="minorHAnsi" w:cstheme="majorBidi"/>
      <w:bCs/>
      <w:iCs/>
      <w:color w:val="FFFFFF" w:themeColor="background1"/>
      <w:sz w:val="36"/>
    </w:rPr>
  </w:style>
  <w:style w:type="paragraph" w:styleId="Heading5">
    <w:name w:val="heading 5"/>
    <w:basedOn w:val="Normal"/>
    <w:next w:val="Normal"/>
    <w:link w:val="Heading5Char"/>
    <w:uiPriority w:val="1"/>
    <w:unhideWhenUsed/>
    <w:qFormat/>
    <w:pPr>
      <w:keepNext/>
      <w:keepLines/>
      <w:spacing w:before="200" w:after="0"/>
      <w:outlineLvl w:val="4"/>
    </w:pPr>
    <w:rPr>
      <w:rFonts w:asciiTheme="majorHAnsi" w:eastAsiaTheme="majorEastAsia" w:hAnsiTheme="majorHAnsi" w:cstheme="majorBidi"/>
      <w:color w:val="440016" w:themeColor="accent1" w:themeShade="7F"/>
    </w:r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440016"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FFFFFF"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FFFFFF"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FFFFFF"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FF1F6A" w:themeColor="accent1" w:themeTint="99"/>
        <w:left w:val="single" w:sz="2" w:space="4" w:color="FFFFFF" w:themeColor="background1"/>
      </w:pBdr>
      <w:spacing w:after="0"/>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pPr>
  </w:style>
  <w:style w:type="paragraph" w:styleId="BalloonText">
    <w:name w:val="Balloon Text"/>
    <w:basedOn w:val="Normal"/>
    <w:link w:val="BalloonTextChar"/>
    <w:uiPriority w:val="99"/>
    <w:semiHidden/>
    <w:unhideWhenUsed/>
    <w:pPr>
      <w:spacing w:after="0"/>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sid w:val="00043C2B"/>
    <w:rPr>
      <w:rFonts w:ascii="Arial" w:eastAsia="Times New Roman" w:hAnsi="Arial" w:cstheme="majorBidi"/>
      <w:color w:val="FFFFFF" w:themeColor="background1"/>
      <w:sz w:val="48"/>
      <w:u w:val="none"/>
      <w:shd w:val="clear" w:color="auto" w:fill="AB054C"/>
    </w:rPr>
  </w:style>
  <w:style w:type="character" w:customStyle="1" w:styleId="Heading2Char">
    <w:name w:val="Heading 2 Char"/>
    <w:basedOn w:val="DefaultParagraphFont"/>
    <w:link w:val="Heading2"/>
    <w:uiPriority w:val="1"/>
    <w:rsid w:val="007703EB"/>
    <w:rPr>
      <w:rFonts w:ascii="Arial Bold" w:eastAsia="Times New Roman" w:hAnsi="Arial Bold"/>
      <w:i/>
      <w:color w:val="AB054C"/>
      <w:sz w:val="36"/>
      <w:szCs w:val="36"/>
      <w:u w:val="none"/>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8A002E" w:themeColor="accent1"/>
      <w:sz w:val="28"/>
    </w:rPr>
  </w:style>
  <w:style w:type="character" w:customStyle="1" w:styleId="QuoteChar">
    <w:name w:val="Quote Char"/>
    <w:basedOn w:val="DefaultParagraphFont"/>
    <w:link w:val="Quote"/>
    <w:uiPriority w:val="9"/>
    <w:rPr>
      <w:i/>
      <w:iCs/>
      <w:color w:val="8A002E" w:themeColor="accent1"/>
      <w:kern w:val="20"/>
      <w:sz w:val="28"/>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8A002E" w:themeColor="accent1" w:frame="1"/>
        <w:left w:val="single" w:sz="2" w:space="10" w:color="8A002E" w:themeColor="accent1" w:frame="1"/>
        <w:bottom w:val="single" w:sz="2" w:space="10" w:color="8A002E" w:themeColor="accent1" w:frame="1"/>
        <w:right w:val="single" w:sz="2" w:space="10" w:color="8A002E" w:themeColor="accent1" w:frame="1"/>
      </w:pBdr>
      <w:ind w:left="1152" w:right="1152"/>
    </w:pPr>
    <w:rPr>
      <w:i/>
      <w:iCs/>
      <w:color w:val="8A002E" w:themeColor="accent1"/>
    </w:rPr>
  </w:style>
  <w:style w:type="paragraph" w:styleId="BodyText">
    <w:name w:val="Body Text"/>
    <w:basedOn w:val="Normal"/>
    <w:link w:val="BodyTextChar"/>
    <w:uiPriority w:val="1"/>
    <w:unhideWhenUsed/>
    <w:qFormat/>
    <w:rsid w:val="00D31911"/>
  </w:style>
  <w:style w:type="character" w:customStyle="1" w:styleId="BodyTextChar">
    <w:name w:val="Body Text Char"/>
    <w:basedOn w:val="DefaultParagraphFont"/>
    <w:link w:val="BodyText"/>
    <w:uiPriority w:val="1"/>
    <w:rsid w:val="00D31911"/>
    <w:rPr>
      <w:rFonts w:ascii="Arial" w:hAnsi="Arial"/>
      <w:color w:val="auto"/>
      <w:u w:val="none"/>
    </w:rPr>
  </w:style>
  <w:style w:type="paragraph" w:styleId="BodyText2">
    <w:name w:val="Body Text 2"/>
    <w:basedOn w:val="Normal"/>
    <w:link w:val="BodyText2Char"/>
    <w:uiPriority w:val="99"/>
    <w:semiHidden/>
    <w:unhideWhenUsed/>
    <w:pPr>
      <w:spacing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imes New Roman" w:hAnsi="Times New Roman"/>
      <w:color w:val="auto"/>
      <w:sz w:val="22"/>
      <w:u w:val="none"/>
    </w:rPr>
  </w:style>
  <w:style w:type="paragraph" w:styleId="BodyTextIndent">
    <w:name w:val="Body Text Indent"/>
    <w:basedOn w:val="Normal"/>
    <w:link w:val="BodyTextIndentChar"/>
    <w:uiPriority w:val="99"/>
    <w:semiHidden/>
    <w:unhideWhenUsed/>
    <w:pPr>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ind w:left="360"/>
    </w:pPr>
    <w:rPr>
      <w:sz w:val="16"/>
    </w:rPr>
  </w:style>
  <w:style w:type="character" w:customStyle="1" w:styleId="BodyTextIndent3Char">
    <w:name w:val="Body Text Indent 3 Char"/>
    <w:basedOn w:val="DefaultParagraphFont"/>
    <w:link w:val="BodyTextIndent3"/>
    <w:uiPriority w:val="99"/>
    <w:semiHidden/>
    <w:rPr>
      <w:sz w:val="16"/>
    </w:rPr>
  </w:style>
  <w:style w:type="character" w:styleId="BookTitle">
    <w:name w:val="Book Title"/>
    <w:basedOn w:val="DefaultParagraphFont"/>
    <w:uiPriority w:val="33"/>
    <w:semiHidden/>
    <w:unhideWhenUsed/>
    <w:rPr>
      <w:b/>
      <w:bCs/>
      <w:smallCaps/>
      <w:spacing w:val="5"/>
    </w:rPr>
  </w:style>
  <w:style w:type="paragraph" w:styleId="Caption">
    <w:name w:val="caption"/>
    <w:basedOn w:val="Normal"/>
    <w:next w:val="Normal"/>
    <w:uiPriority w:val="35"/>
    <w:semiHidden/>
    <w:unhideWhenUsed/>
    <w:qFormat/>
    <w:rPr>
      <w:b/>
      <w:bCs/>
      <w:color w:val="8A002E" w:themeColor="accent1"/>
      <w:sz w:val="18"/>
    </w:rPr>
  </w:style>
  <w:style w:type="paragraph" w:styleId="Closing">
    <w:name w:val="Closing"/>
    <w:basedOn w:val="Normal"/>
    <w:link w:val="ClosingChar"/>
    <w:uiPriority w:val="99"/>
    <w:semiHidden/>
    <w:unhideWhenUsed/>
    <w:pPr>
      <w:spacing w:after="0"/>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FFF" w:themeFill="text1" w:themeFillTint="33"/>
    </w:tcPr>
    <w:tblStylePr w:type="firstRow">
      <w:rPr>
        <w:b/>
        <w:bCs/>
      </w:rPr>
      <w:tblPr/>
      <w:tcPr>
        <w:shd w:val="clear" w:color="auto" w:fill="FFFFFF" w:themeFill="text1" w:themeFillTint="66"/>
      </w:tcPr>
    </w:tblStylePr>
    <w:tblStylePr w:type="lastRow">
      <w:rPr>
        <w:b/>
        <w:bCs/>
        <w:color w:val="FFFFFF" w:themeColor="text1"/>
      </w:rPr>
      <w:tblPr/>
      <w:tcPr>
        <w:shd w:val="clear" w:color="auto" w:fill="FFFFFF" w:themeFill="text1" w:themeFillTint="66"/>
      </w:tcPr>
    </w:tblStylePr>
    <w:tblStylePr w:type="firstCol">
      <w:rPr>
        <w:color w:val="FFFFFF" w:themeColor="background1"/>
      </w:rPr>
      <w:tblPr/>
      <w:tcPr>
        <w:shd w:val="clear" w:color="auto" w:fill="BFBFBF" w:themeFill="text1" w:themeFillShade="BF"/>
      </w:tcPr>
    </w:tblStylePr>
    <w:tblStylePr w:type="lastCol">
      <w:rPr>
        <w:color w:val="FFFFFF" w:themeColor="background1"/>
      </w:rPr>
      <w:tblPr/>
      <w:tcPr>
        <w:shd w:val="clear" w:color="auto" w:fill="BFBFBF" w:themeFill="text1" w:themeFillShade="BF"/>
      </w:tc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ColorfulGrid-Accent1">
    <w:name w:val="Colorful Grid Accent 1"/>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B4CD" w:themeFill="accent1" w:themeFillTint="33"/>
    </w:tcPr>
    <w:tblStylePr w:type="firstRow">
      <w:rPr>
        <w:b/>
        <w:bCs/>
      </w:rPr>
      <w:tblPr/>
      <w:tcPr>
        <w:shd w:val="clear" w:color="auto" w:fill="FF6A9B" w:themeFill="accent1" w:themeFillTint="66"/>
      </w:tcPr>
    </w:tblStylePr>
    <w:tblStylePr w:type="lastRow">
      <w:rPr>
        <w:b/>
        <w:bCs/>
        <w:color w:val="FFFFFF" w:themeColor="text1"/>
      </w:rPr>
      <w:tblPr/>
      <w:tcPr>
        <w:shd w:val="clear" w:color="auto" w:fill="FF6A9B" w:themeFill="accent1" w:themeFillTint="66"/>
      </w:tcPr>
    </w:tblStylePr>
    <w:tblStylePr w:type="firstCol">
      <w:rPr>
        <w:color w:val="FFFFFF" w:themeColor="background1"/>
      </w:rPr>
      <w:tblPr/>
      <w:tcPr>
        <w:shd w:val="clear" w:color="auto" w:fill="670022" w:themeFill="accent1" w:themeFillShade="BF"/>
      </w:tcPr>
    </w:tblStylePr>
    <w:tblStylePr w:type="lastCol">
      <w:rPr>
        <w:color w:val="FFFFFF" w:themeColor="background1"/>
      </w:rPr>
      <w:tblPr/>
      <w:tcPr>
        <w:shd w:val="clear" w:color="auto" w:fill="670022" w:themeFill="accent1" w:themeFillShade="BF"/>
      </w:tcPr>
    </w:tblStylePr>
    <w:tblStylePr w:type="band1Vert">
      <w:tblPr/>
      <w:tcPr>
        <w:shd w:val="clear" w:color="auto" w:fill="FF4583" w:themeFill="accent1" w:themeFillTint="7F"/>
      </w:tcPr>
    </w:tblStylePr>
    <w:tblStylePr w:type="band1Horz">
      <w:tblPr/>
      <w:tcPr>
        <w:shd w:val="clear" w:color="auto" w:fill="FF4583" w:themeFill="accent1" w:themeFillTint="7F"/>
      </w:tcPr>
    </w:tblStylePr>
  </w:style>
  <w:style w:type="table" w:styleId="ColorfulGrid-Accent2">
    <w:name w:val="Colorful Grid Accent 2"/>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DB9D6" w:themeFill="accent2" w:themeFillTint="33"/>
    </w:tcPr>
    <w:tblStylePr w:type="firstRow">
      <w:rPr>
        <w:b/>
        <w:bCs/>
      </w:rPr>
      <w:tblPr/>
      <w:tcPr>
        <w:shd w:val="clear" w:color="auto" w:fill="FB74AE" w:themeFill="accent2" w:themeFillTint="66"/>
      </w:tcPr>
    </w:tblStylePr>
    <w:tblStylePr w:type="lastRow">
      <w:rPr>
        <w:b/>
        <w:bCs/>
        <w:color w:val="FFFFFF" w:themeColor="text1"/>
      </w:rPr>
      <w:tblPr/>
      <w:tcPr>
        <w:shd w:val="clear" w:color="auto" w:fill="FB74AE" w:themeFill="accent2" w:themeFillTint="66"/>
      </w:tcPr>
    </w:tblStylePr>
    <w:tblStylePr w:type="firstCol">
      <w:rPr>
        <w:color w:val="FFFFFF" w:themeColor="background1"/>
      </w:rPr>
      <w:tblPr/>
      <w:tcPr>
        <w:shd w:val="clear" w:color="auto" w:fill="700332" w:themeFill="accent2" w:themeFillShade="BF"/>
      </w:tcPr>
    </w:tblStylePr>
    <w:tblStylePr w:type="lastCol">
      <w:rPr>
        <w:color w:val="FFFFFF" w:themeColor="background1"/>
      </w:rPr>
      <w:tblPr/>
      <w:tcPr>
        <w:shd w:val="clear" w:color="auto" w:fill="700332" w:themeFill="accent2" w:themeFillShade="BF"/>
      </w:tcPr>
    </w:tblStylePr>
    <w:tblStylePr w:type="band1Vert">
      <w:tblPr/>
      <w:tcPr>
        <w:shd w:val="clear" w:color="auto" w:fill="FA529A" w:themeFill="accent2" w:themeFillTint="7F"/>
      </w:tcPr>
    </w:tblStylePr>
    <w:tblStylePr w:type="band1Horz">
      <w:tblPr/>
      <w:tcPr>
        <w:shd w:val="clear" w:color="auto" w:fill="FA529A" w:themeFill="accent2" w:themeFillTint="7F"/>
      </w:tcPr>
    </w:tblStylePr>
  </w:style>
  <w:style w:type="table" w:styleId="ColorfulGrid-Accent3">
    <w:name w:val="Colorful Grid Accent 3"/>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DBDD8" w:themeFill="accent3" w:themeFillTint="33"/>
    </w:tcPr>
    <w:tblStylePr w:type="firstRow">
      <w:rPr>
        <w:b/>
        <w:bCs/>
      </w:rPr>
      <w:tblPr/>
      <w:tcPr>
        <w:shd w:val="clear" w:color="auto" w:fill="FB7DB3" w:themeFill="accent3" w:themeFillTint="66"/>
      </w:tcPr>
    </w:tblStylePr>
    <w:tblStylePr w:type="lastRow">
      <w:rPr>
        <w:b/>
        <w:bCs/>
        <w:color w:val="FFFFFF" w:themeColor="text1"/>
      </w:rPr>
      <w:tblPr/>
      <w:tcPr>
        <w:shd w:val="clear" w:color="auto" w:fill="FB7DB3" w:themeFill="accent3" w:themeFillTint="66"/>
      </w:tcPr>
    </w:tblStylePr>
    <w:tblStylePr w:type="firstCol">
      <w:rPr>
        <w:color w:val="FFFFFF" w:themeColor="background1"/>
      </w:rPr>
      <w:tblPr/>
      <w:tcPr>
        <w:shd w:val="clear" w:color="auto" w:fill="7F0338" w:themeFill="accent3" w:themeFillShade="BF"/>
      </w:tcPr>
    </w:tblStylePr>
    <w:tblStylePr w:type="lastCol">
      <w:rPr>
        <w:color w:val="FFFFFF" w:themeColor="background1"/>
      </w:rPr>
      <w:tblPr/>
      <w:tcPr>
        <w:shd w:val="clear" w:color="auto" w:fill="7F0338" w:themeFill="accent3" w:themeFillShade="BF"/>
      </w:tcPr>
    </w:tblStylePr>
    <w:tblStylePr w:type="band1Vert">
      <w:tblPr/>
      <w:tcPr>
        <w:shd w:val="clear" w:color="auto" w:fill="FA5DA0" w:themeFill="accent3" w:themeFillTint="7F"/>
      </w:tcPr>
    </w:tblStylePr>
    <w:tblStylePr w:type="band1Horz">
      <w:tblPr/>
      <w:tcPr>
        <w:shd w:val="clear" w:color="auto" w:fill="FA5DA0" w:themeFill="accent3" w:themeFillTint="7F"/>
      </w:tcPr>
    </w:tblStylePr>
  </w:style>
  <w:style w:type="table" w:styleId="ColorfulGrid-Accent4">
    <w:name w:val="Colorful Grid Accent 4"/>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AFA" w:themeFill="accent4" w:themeFillTint="33"/>
    </w:tcPr>
    <w:tblStylePr w:type="firstRow">
      <w:rPr>
        <w:b/>
        <w:bCs/>
      </w:rPr>
      <w:tblPr/>
      <w:tcPr>
        <w:shd w:val="clear" w:color="auto" w:fill="FFF5F5" w:themeFill="accent4" w:themeFillTint="66"/>
      </w:tcPr>
    </w:tblStylePr>
    <w:tblStylePr w:type="lastRow">
      <w:rPr>
        <w:b/>
        <w:bCs/>
        <w:color w:val="FFFFFF" w:themeColor="text1"/>
      </w:rPr>
      <w:tblPr/>
      <w:tcPr>
        <w:shd w:val="clear" w:color="auto" w:fill="FFF5F5" w:themeFill="accent4" w:themeFillTint="66"/>
      </w:tcPr>
    </w:tblStylePr>
    <w:tblStylePr w:type="firstCol">
      <w:rPr>
        <w:color w:val="FFFFFF" w:themeColor="background1"/>
      </w:rPr>
      <w:tblPr/>
      <w:tcPr>
        <w:shd w:val="clear" w:color="auto" w:fill="FF6D6D" w:themeFill="accent4" w:themeFillShade="BF"/>
      </w:tcPr>
    </w:tblStylePr>
    <w:tblStylePr w:type="lastCol">
      <w:rPr>
        <w:color w:val="FFFFFF" w:themeColor="background1"/>
      </w:rPr>
      <w:tblPr/>
      <w:tcPr>
        <w:shd w:val="clear" w:color="auto" w:fill="FF6D6D" w:themeFill="accent4" w:themeFillShade="BF"/>
      </w:tc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ColorfulGrid-Accent5">
    <w:name w:val="Colorful Grid Accent 5"/>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7F8" w:themeFill="accent5" w:themeFillTint="33"/>
    </w:tcPr>
    <w:tblStylePr w:type="firstRow">
      <w:rPr>
        <w:b/>
        <w:bCs/>
      </w:rPr>
      <w:tblPr/>
      <w:tcPr>
        <w:shd w:val="clear" w:color="auto" w:fill="FEF0F1" w:themeFill="accent5" w:themeFillTint="66"/>
      </w:tcPr>
    </w:tblStylePr>
    <w:tblStylePr w:type="lastRow">
      <w:rPr>
        <w:b/>
        <w:bCs/>
        <w:color w:val="FFFFFF" w:themeColor="text1"/>
      </w:rPr>
      <w:tblPr/>
      <w:tcPr>
        <w:shd w:val="clear" w:color="auto" w:fill="FEF0F1" w:themeFill="accent5" w:themeFillTint="66"/>
      </w:tcPr>
    </w:tblStylePr>
    <w:tblStylePr w:type="firstCol">
      <w:rPr>
        <w:color w:val="FFFFFF" w:themeColor="background1"/>
      </w:rPr>
      <w:tblPr/>
      <w:tcPr>
        <w:shd w:val="clear" w:color="auto" w:fill="FB6672" w:themeFill="accent5" w:themeFillShade="BF"/>
      </w:tcPr>
    </w:tblStylePr>
    <w:tblStylePr w:type="lastCol">
      <w:rPr>
        <w:color w:val="FFFFFF" w:themeColor="background1"/>
      </w:rPr>
      <w:tblPr/>
      <w:tcPr>
        <w:shd w:val="clear" w:color="auto" w:fill="FB6672" w:themeFill="accent5" w:themeFillShade="BF"/>
      </w:tc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ColorfulGrid-Accent6">
    <w:name w:val="Colorful Grid Accent 6"/>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AFBE" w:themeFill="accent6" w:themeFillTint="33"/>
    </w:tcPr>
    <w:tblStylePr w:type="firstRow">
      <w:rPr>
        <w:b/>
        <w:bCs/>
      </w:rPr>
      <w:tblPr/>
      <w:tcPr>
        <w:shd w:val="clear" w:color="auto" w:fill="FF5F7D" w:themeFill="accent6" w:themeFillTint="66"/>
      </w:tcPr>
    </w:tblStylePr>
    <w:tblStylePr w:type="lastRow">
      <w:rPr>
        <w:b/>
        <w:bCs/>
        <w:color w:val="FFFFFF" w:themeColor="text1"/>
      </w:rPr>
      <w:tblPr/>
      <w:tcPr>
        <w:shd w:val="clear" w:color="auto" w:fill="FF5F7D" w:themeFill="accent6" w:themeFillTint="66"/>
      </w:tcPr>
    </w:tblStylePr>
    <w:tblStylePr w:type="firstCol">
      <w:rPr>
        <w:color w:val="FFFFFF" w:themeColor="background1"/>
      </w:rPr>
      <w:tblPr/>
      <w:tcPr>
        <w:shd w:val="clear" w:color="auto" w:fill="53000F" w:themeFill="accent6" w:themeFillShade="BF"/>
      </w:tcPr>
    </w:tblStylePr>
    <w:tblStylePr w:type="lastCol">
      <w:rPr>
        <w:color w:val="FFFFFF" w:themeColor="background1"/>
      </w:rPr>
      <w:tblPr/>
      <w:tcPr>
        <w:shd w:val="clear" w:color="auto" w:fill="53000F" w:themeFill="accent6" w:themeFillShade="BF"/>
      </w:tc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ColorfulList">
    <w:name w:val="Colorful List"/>
    <w:basedOn w:val="TableNormal"/>
    <w:uiPriority w:val="72"/>
    <w:pPr>
      <w:spacing w:after="0"/>
    </w:pPr>
    <w:rPr>
      <w:color w:val="FFFFFF" w:themeColor="text1"/>
    </w:rPr>
    <w:tblPr>
      <w:tblStyleRowBandSize w:val="1"/>
      <w:tblStyleColBandSize w:val="1"/>
    </w:tblPr>
    <w:tcPr>
      <w:shd w:val="clear" w:color="auto" w:fill="FFFFFF" w:themeFill="text1" w:themeFillTint="19"/>
    </w:tcPr>
    <w:tblStylePr w:type="firstRow">
      <w:rPr>
        <w:b/>
        <w:bCs/>
        <w:color w:val="FFFFFF" w:themeColor="background1"/>
      </w:rPr>
      <w:tblPr/>
      <w:tcPr>
        <w:tcBorders>
          <w:bottom w:val="single" w:sz="12" w:space="0" w:color="FFFFFF" w:themeColor="background1"/>
        </w:tcBorders>
        <w:shd w:val="clear" w:color="auto" w:fill="770335" w:themeFill="accent2" w:themeFillShade="CC"/>
      </w:tcPr>
    </w:tblStylePr>
    <w:tblStylePr w:type="lastRow">
      <w:rPr>
        <w:b/>
        <w:bCs/>
        <w:color w:val="770335"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FFF" w:themeFill="text1" w:themeFillTint="3F"/>
      </w:tcPr>
    </w:tblStylePr>
    <w:tblStylePr w:type="band1Horz">
      <w:tblPr/>
      <w:tcPr>
        <w:shd w:val="clear" w:color="auto" w:fill="FFFFFF" w:themeFill="text1" w:themeFillTint="33"/>
      </w:tcPr>
    </w:tblStylePr>
  </w:style>
  <w:style w:type="table" w:styleId="ColorfulList-Accent1">
    <w:name w:val="Colorful List Accent 1"/>
    <w:basedOn w:val="TableNormal"/>
    <w:uiPriority w:val="72"/>
    <w:pPr>
      <w:spacing w:after="0"/>
    </w:pPr>
    <w:rPr>
      <w:color w:val="FFFFFF" w:themeColor="text1"/>
    </w:rPr>
    <w:tblPr>
      <w:tblStyleRowBandSize w:val="1"/>
      <w:tblStyleColBandSize w:val="1"/>
    </w:tblPr>
    <w:tcPr>
      <w:shd w:val="clear" w:color="auto" w:fill="FFDAE6" w:themeFill="accent1" w:themeFillTint="19"/>
    </w:tcPr>
    <w:tblStylePr w:type="firstRow">
      <w:rPr>
        <w:b/>
        <w:bCs/>
        <w:color w:val="FFFFFF" w:themeColor="background1"/>
      </w:rPr>
      <w:tblPr/>
      <w:tcPr>
        <w:tcBorders>
          <w:bottom w:val="single" w:sz="12" w:space="0" w:color="FFFFFF" w:themeColor="background1"/>
        </w:tcBorders>
        <w:shd w:val="clear" w:color="auto" w:fill="770335" w:themeFill="accent2" w:themeFillShade="CC"/>
      </w:tcPr>
    </w:tblStylePr>
    <w:tblStylePr w:type="lastRow">
      <w:rPr>
        <w:b/>
        <w:bCs/>
        <w:color w:val="770335"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3C1" w:themeFill="accent1" w:themeFillTint="3F"/>
      </w:tcPr>
    </w:tblStylePr>
    <w:tblStylePr w:type="band1Horz">
      <w:tblPr/>
      <w:tcPr>
        <w:shd w:val="clear" w:color="auto" w:fill="FFB4CD" w:themeFill="accent1" w:themeFillTint="33"/>
      </w:tcPr>
    </w:tblStylePr>
  </w:style>
  <w:style w:type="table" w:styleId="ColorfulList-Accent2">
    <w:name w:val="Colorful List Accent 2"/>
    <w:basedOn w:val="TableNormal"/>
    <w:uiPriority w:val="72"/>
    <w:pPr>
      <w:spacing w:after="0"/>
    </w:pPr>
    <w:rPr>
      <w:color w:val="FFFFFF" w:themeColor="text1"/>
    </w:rPr>
    <w:tblPr>
      <w:tblStyleRowBandSize w:val="1"/>
      <w:tblStyleColBandSize w:val="1"/>
    </w:tblPr>
    <w:tcPr>
      <w:shd w:val="clear" w:color="auto" w:fill="FEDCEB" w:themeFill="accent2" w:themeFillTint="19"/>
    </w:tcPr>
    <w:tblStylePr w:type="firstRow">
      <w:rPr>
        <w:b/>
        <w:bCs/>
        <w:color w:val="FFFFFF" w:themeColor="background1"/>
      </w:rPr>
      <w:tblPr/>
      <w:tcPr>
        <w:tcBorders>
          <w:bottom w:val="single" w:sz="12" w:space="0" w:color="FFFFFF" w:themeColor="background1"/>
        </w:tcBorders>
        <w:shd w:val="clear" w:color="auto" w:fill="770335" w:themeFill="accent2" w:themeFillShade="CC"/>
      </w:tcPr>
    </w:tblStylePr>
    <w:tblStylePr w:type="lastRow">
      <w:rPr>
        <w:b/>
        <w:bCs/>
        <w:color w:val="770335"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A9CD" w:themeFill="accent2" w:themeFillTint="3F"/>
      </w:tcPr>
    </w:tblStylePr>
    <w:tblStylePr w:type="band1Horz">
      <w:tblPr/>
      <w:tcPr>
        <w:shd w:val="clear" w:color="auto" w:fill="FDB9D6" w:themeFill="accent2" w:themeFillTint="33"/>
      </w:tcPr>
    </w:tblStylePr>
  </w:style>
  <w:style w:type="table" w:styleId="ColorfulList-Accent3">
    <w:name w:val="Colorful List Accent 3"/>
    <w:basedOn w:val="TableNormal"/>
    <w:uiPriority w:val="72"/>
    <w:pPr>
      <w:spacing w:after="0"/>
    </w:pPr>
    <w:rPr>
      <w:color w:val="FFFFFF" w:themeColor="text1"/>
    </w:rPr>
    <w:tblPr>
      <w:tblStyleRowBandSize w:val="1"/>
      <w:tblStyleColBandSize w:val="1"/>
    </w:tblPr>
    <w:tcPr>
      <w:shd w:val="clear" w:color="auto" w:fill="FEDEEC" w:themeFill="accent3" w:themeFillTint="19"/>
    </w:tcPr>
    <w:tblStylePr w:type="firstRow">
      <w:rPr>
        <w:b/>
        <w:bCs/>
        <w:color w:val="FFFFFF" w:themeColor="background1"/>
      </w:rPr>
      <w:tblPr/>
      <w:tcPr>
        <w:tcBorders>
          <w:bottom w:val="single" w:sz="12" w:space="0" w:color="FFFFFF" w:themeColor="background1"/>
        </w:tcBorders>
        <w:shd w:val="clear" w:color="auto" w:fill="FF8585" w:themeFill="accent4" w:themeFillShade="CC"/>
      </w:tcPr>
    </w:tblStylePr>
    <w:tblStylePr w:type="lastRow">
      <w:rPr>
        <w:b/>
        <w:bCs/>
        <w:color w:val="FF8585" w:themeColor="accent4"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AED0" w:themeFill="accent3" w:themeFillTint="3F"/>
      </w:tcPr>
    </w:tblStylePr>
    <w:tblStylePr w:type="band1Horz">
      <w:tblPr/>
      <w:tcPr>
        <w:shd w:val="clear" w:color="auto" w:fill="FDBDD8" w:themeFill="accent3" w:themeFillTint="33"/>
      </w:tcPr>
    </w:tblStylePr>
  </w:style>
  <w:style w:type="table" w:styleId="ColorfulList-Accent4">
    <w:name w:val="Colorful List Accent 4"/>
    <w:basedOn w:val="TableNormal"/>
    <w:uiPriority w:val="72"/>
    <w:pPr>
      <w:spacing w:after="0"/>
    </w:pPr>
    <w:rPr>
      <w:color w:val="FFFFFF" w:themeColor="text1"/>
    </w:rPr>
    <w:tblPr>
      <w:tblStyleRowBandSize w:val="1"/>
      <w:tblStyleColBandSize w:val="1"/>
    </w:tblPr>
    <w:tcPr>
      <w:shd w:val="clear" w:color="auto" w:fill="FFFCFC" w:themeFill="accent4" w:themeFillTint="19"/>
    </w:tcPr>
    <w:tblStylePr w:type="firstRow">
      <w:rPr>
        <w:b/>
        <w:bCs/>
        <w:color w:val="FFFFFF" w:themeColor="background1"/>
      </w:rPr>
      <w:tblPr/>
      <w:tcPr>
        <w:tcBorders>
          <w:bottom w:val="single" w:sz="12" w:space="0" w:color="FFFFFF" w:themeColor="background1"/>
        </w:tcBorders>
        <w:shd w:val="clear" w:color="auto" w:fill="88043C" w:themeFill="accent3" w:themeFillShade="CC"/>
      </w:tcPr>
    </w:tblStylePr>
    <w:tblStylePr w:type="lastRow">
      <w:rPr>
        <w:b/>
        <w:bCs/>
        <w:color w:val="88043C" w:themeColor="accent3"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9F9" w:themeFill="accent4" w:themeFillTint="3F"/>
      </w:tcPr>
    </w:tblStylePr>
    <w:tblStylePr w:type="band1Horz">
      <w:tblPr/>
      <w:tcPr>
        <w:shd w:val="clear" w:color="auto" w:fill="FFFAFA" w:themeFill="accent4" w:themeFillTint="33"/>
      </w:tcPr>
    </w:tblStylePr>
  </w:style>
  <w:style w:type="table" w:styleId="ColorfulList-Accent5">
    <w:name w:val="Colorful List Accent 5"/>
    <w:basedOn w:val="TableNormal"/>
    <w:uiPriority w:val="72"/>
    <w:pPr>
      <w:spacing w:after="0"/>
    </w:pPr>
    <w:rPr>
      <w:color w:val="FFFFFF" w:themeColor="text1"/>
    </w:rPr>
    <w:tblPr>
      <w:tblStyleRowBandSize w:val="1"/>
      <w:tblStyleColBandSize w:val="1"/>
    </w:tblPr>
    <w:tcPr>
      <w:shd w:val="clear" w:color="auto" w:fill="FFFBFB" w:themeFill="accent5" w:themeFillTint="19"/>
    </w:tcPr>
    <w:tblStylePr w:type="firstRow">
      <w:rPr>
        <w:b/>
        <w:bCs/>
        <w:color w:val="FFFFFF" w:themeColor="background1"/>
      </w:rPr>
      <w:tblPr/>
      <w:tcPr>
        <w:tcBorders>
          <w:bottom w:val="single" w:sz="12" w:space="0" w:color="FFFFFF" w:themeColor="background1"/>
        </w:tcBorders>
        <w:shd w:val="clear" w:color="auto" w:fill="590010" w:themeFill="accent6" w:themeFillShade="CC"/>
      </w:tcPr>
    </w:tblStylePr>
    <w:tblStylePr w:type="lastRow">
      <w:rPr>
        <w:b/>
        <w:bCs/>
        <w:color w:val="590010" w:themeColor="accent6"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F5F6" w:themeFill="accent5" w:themeFillTint="3F"/>
      </w:tcPr>
    </w:tblStylePr>
    <w:tblStylePr w:type="band1Horz">
      <w:tblPr/>
      <w:tcPr>
        <w:shd w:val="clear" w:color="auto" w:fill="FEF7F8" w:themeFill="accent5" w:themeFillTint="33"/>
      </w:tcPr>
    </w:tblStylePr>
  </w:style>
  <w:style w:type="table" w:styleId="ColorfulList-Accent6">
    <w:name w:val="Colorful List Accent 6"/>
    <w:basedOn w:val="TableNormal"/>
    <w:uiPriority w:val="72"/>
    <w:pPr>
      <w:spacing w:after="0"/>
    </w:pPr>
    <w:rPr>
      <w:color w:val="FFFFFF" w:themeColor="text1"/>
    </w:rPr>
    <w:tblPr>
      <w:tblStyleRowBandSize w:val="1"/>
      <w:tblStyleColBandSize w:val="1"/>
    </w:tblPr>
    <w:tcPr>
      <w:shd w:val="clear" w:color="auto" w:fill="FFD7DE" w:themeFill="accent6" w:themeFillTint="19"/>
    </w:tcPr>
    <w:tblStylePr w:type="firstRow">
      <w:rPr>
        <w:b/>
        <w:bCs/>
        <w:color w:val="FFFFFF" w:themeColor="background1"/>
      </w:rPr>
      <w:tblPr/>
      <w:tcPr>
        <w:tcBorders>
          <w:bottom w:val="single" w:sz="12" w:space="0" w:color="FFFFFF" w:themeColor="background1"/>
        </w:tcBorders>
        <w:shd w:val="clear" w:color="auto" w:fill="FB7D88" w:themeFill="accent5" w:themeFillShade="CC"/>
      </w:tcPr>
    </w:tblStylePr>
    <w:tblStylePr w:type="lastRow">
      <w:rPr>
        <w:b/>
        <w:bCs/>
        <w:color w:val="FB7D88" w:themeColor="accent5"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AE" w:themeFill="accent6" w:themeFillTint="3F"/>
      </w:tcPr>
    </w:tblStylePr>
    <w:tblStylePr w:type="band1Horz">
      <w:tblPr/>
      <w:tcPr>
        <w:shd w:val="clear" w:color="auto" w:fill="FFAFBE" w:themeFill="accent6" w:themeFillTint="33"/>
      </w:tcPr>
    </w:tblStylePr>
  </w:style>
  <w:style w:type="table" w:styleId="ColorfulShading">
    <w:name w:val="Colorful Shading"/>
    <w:basedOn w:val="TableNormal"/>
    <w:uiPriority w:val="71"/>
    <w:pPr>
      <w:spacing w:after="0"/>
    </w:pPr>
    <w:rPr>
      <w:color w:val="FFFFFF" w:themeColor="text1"/>
    </w:rPr>
    <w:tblPr>
      <w:tblStyleRowBandSize w:val="1"/>
      <w:tblStyleColBandSize w:val="1"/>
      <w:tblBorders>
        <w:top w:val="single" w:sz="24" w:space="0" w:color="960443" w:themeColor="accent2"/>
        <w:left w:val="single" w:sz="4" w:space="0" w:color="FFFFFF" w:themeColor="text1"/>
        <w:bottom w:val="single" w:sz="4" w:space="0" w:color="FFFFFF" w:themeColor="text1"/>
        <w:right w:val="single" w:sz="4" w:space="0" w:color="FFFFFF" w:themeColor="text1"/>
        <w:insideH w:val="single" w:sz="4" w:space="0" w:color="FFFFFF" w:themeColor="background1"/>
        <w:insideV w:val="single" w:sz="4" w:space="0" w:color="FFFFFF" w:themeColor="background1"/>
      </w:tblBorders>
    </w:tblPr>
    <w:tcPr>
      <w:shd w:val="clear" w:color="auto" w:fill="FFFFFF" w:themeFill="text1" w:themeFillTint="19"/>
    </w:tcPr>
    <w:tblStylePr w:type="firstRow">
      <w:rPr>
        <w:b/>
        <w:bCs/>
      </w:rPr>
      <w:tblPr/>
      <w:tcPr>
        <w:tcBorders>
          <w:top w:val="nil"/>
          <w:left w:val="nil"/>
          <w:bottom w:val="single" w:sz="24" w:space="0" w:color="96044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999" w:themeFill="text1" w:themeFillShade="99"/>
      </w:tcPr>
    </w:tblStylePr>
    <w:tblStylePr w:type="firstCol">
      <w:rPr>
        <w:color w:val="FFFFFF" w:themeColor="background1"/>
      </w:rPr>
      <w:tblPr/>
      <w:tcPr>
        <w:tcBorders>
          <w:top w:val="nil"/>
          <w:left w:val="nil"/>
          <w:bottom w:val="nil"/>
          <w:right w:val="nil"/>
          <w:insideH w:val="single" w:sz="4" w:space="0" w:color="999999" w:themeColor="text1" w:themeShade="99"/>
          <w:insideV w:val="nil"/>
        </w:tcBorders>
        <w:shd w:val="clear" w:color="auto" w:fill="999999"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BFBFBF" w:themeFill="text1" w:themeFillShade="BF"/>
      </w:tcPr>
    </w:tblStylePr>
    <w:tblStylePr w:type="band1Vert">
      <w:tblPr/>
      <w:tcPr>
        <w:shd w:val="clear" w:color="auto" w:fill="FFFFFF" w:themeFill="text1" w:themeFillTint="66"/>
      </w:tcPr>
    </w:tblStylePr>
    <w:tblStylePr w:type="band1Horz">
      <w:tblPr/>
      <w:tcPr>
        <w:shd w:val="clear" w:color="auto" w:fill="FFFFFF" w:themeFill="text1" w:themeFillTint="7F"/>
      </w:tcPr>
    </w:tblStylePr>
    <w:tblStylePr w:type="neCell">
      <w:rPr>
        <w:color w:val="FFFFFF" w:themeColor="text1"/>
      </w:rPr>
    </w:tblStylePr>
    <w:tblStylePr w:type="nwCell">
      <w:rPr>
        <w:color w:val="FFFFFF" w:themeColor="text1"/>
      </w:rPr>
    </w:tblStylePr>
  </w:style>
  <w:style w:type="table" w:styleId="ColorfulShading-Accent1">
    <w:name w:val="Colorful Shading Accent 1"/>
    <w:basedOn w:val="TableNormal"/>
    <w:uiPriority w:val="71"/>
    <w:pPr>
      <w:spacing w:after="0"/>
    </w:pPr>
    <w:rPr>
      <w:color w:val="FFFFFF" w:themeColor="text1"/>
    </w:rPr>
    <w:tblPr>
      <w:tblStyleRowBandSize w:val="1"/>
      <w:tblStyleColBandSize w:val="1"/>
      <w:tblBorders>
        <w:top w:val="single" w:sz="24" w:space="0" w:color="960443" w:themeColor="accent2"/>
        <w:left w:val="single" w:sz="4" w:space="0" w:color="8A002E" w:themeColor="accent1"/>
        <w:bottom w:val="single" w:sz="4" w:space="0" w:color="8A002E" w:themeColor="accent1"/>
        <w:right w:val="single" w:sz="4" w:space="0" w:color="8A002E" w:themeColor="accent1"/>
        <w:insideH w:val="single" w:sz="4" w:space="0" w:color="FFFFFF" w:themeColor="background1"/>
        <w:insideV w:val="single" w:sz="4" w:space="0" w:color="FFFFFF" w:themeColor="background1"/>
      </w:tblBorders>
    </w:tblPr>
    <w:tcPr>
      <w:shd w:val="clear" w:color="auto" w:fill="FFDAE6" w:themeFill="accent1" w:themeFillTint="19"/>
    </w:tcPr>
    <w:tblStylePr w:type="firstRow">
      <w:rPr>
        <w:b/>
        <w:bCs/>
      </w:rPr>
      <w:tblPr/>
      <w:tcPr>
        <w:tcBorders>
          <w:top w:val="nil"/>
          <w:left w:val="nil"/>
          <w:bottom w:val="single" w:sz="24" w:space="0" w:color="96044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001B" w:themeFill="accent1" w:themeFillShade="99"/>
      </w:tcPr>
    </w:tblStylePr>
    <w:tblStylePr w:type="firstCol">
      <w:rPr>
        <w:color w:val="FFFFFF" w:themeColor="background1"/>
      </w:rPr>
      <w:tblPr/>
      <w:tcPr>
        <w:tcBorders>
          <w:top w:val="nil"/>
          <w:left w:val="nil"/>
          <w:bottom w:val="nil"/>
          <w:right w:val="nil"/>
          <w:insideH w:val="single" w:sz="4" w:space="0" w:color="52001B" w:themeColor="accent1" w:themeShade="99"/>
          <w:insideV w:val="nil"/>
        </w:tcBorders>
        <w:shd w:val="clear" w:color="auto" w:fill="52001B"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2001B" w:themeFill="accent1" w:themeFillShade="99"/>
      </w:tcPr>
    </w:tblStylePr>
    <w:tblStylePr w:type="band1Vert">
      <w:tblPr/>
      <w:tcPr>
        <w:shd w:val="clear" w:color="auto" w:fill="FF6A9B" w:themeFill="accent1" w:themeFillTint="66"/>
      </w:tcPr>
    </w:tblStylePr>
    <w:tblStylePr w:type="band1Horz">
      <w:tblPr/>
      <w:tcPr>
        <w:shd w:val="clear" w:color="auto" w:fill="FF4583" w:themeFill="accent1" w:themeFillTint="7F"/>
      </w:tcPr>
    </w:tblStylePr>
    <w:tblStylePr w:type="neCell">
      <w:rPr>
        <w:color w:val="FFFFFF" w:themeColor="text1"/>
      </w:rPr>
    </w:tblStylePr>
    <w:tblStylePr w:type="nwCell">
      <w:rPr>
        <w:color w:val="FFFFFF" w:themeColor="text1"/>
      </w:rPr>
    </w:tblStylePr>
  </w:style>
  <w:style w:type="table" w:styleId="ColorfulShading-Accent2">
    <w:name w:val="Colorful Shading Accent 2"/>
    <w:basedOn w:val="TableNormal"/>
    <w:uiPriority w:val="71"/>
    <w:pPr>
      <w:spacing w:after="0"/>
    </w:pPr>
    <w:rPr>
      <w:color w:val="FFFFFF" w:themeColor="text1"/>
    </w:rPr>
    <w:tblPr>
      <w:tblStyleRowBandSize w:val="1"/>
      <w:tblStyleColBandSize w:val="1"/>
      <w:tblBorders>
        <w:top w:val="single" w:sz="24" w:space="0" w:color="960443" w:themeColor="accent2"/>
        <w:left w:val="single" w:sz="4" w:space="0" w:color="960443" w:themeColor="accent2"/>
        <w:bottom w:val="single" w:sz="4" w:space="0" w:color="960443" w:themeColor="accent2"/>
        <w:right w:val="single" w:sz="4" w:space="0" w:color="960443" w:themeColor="accent2"/>
        <w:insideH w:val="single" w:sz="4" w:space="0" w:color="FFFFFF" w:themeColor="background1"/>
        <w:insideV w:val="single" w:sz="4" w:space="0" w:color="FFFFFF" w:themeColor="background1"/>
      </w:tblBorders>
    </w:tblPr>
    <w:tcPr>
      <w:shd w:val="clear" w:color="auto" w:fill="FEDCEB" w:themeFill="accent2" w:themeFillTint="19"/>
    </w:tcPr>
    <w:tblStylePr w:type="firstRow">
      <w:rPr>
        <w:b/>
        <w:bCs/>
      </w:rPr>
      <w:tblPr/>
      <w:tcPr>
        <w:tcBorders>
          <w:top w:val="nil"/>
          <w:left w:val="nil"/>
          <w:bottom w:val="single" w:sz="24" w:space="0" w:color="96044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90228" w:themeFill="accent2" w:themeFillShade="99"/>
      </w:tcPr>
    </w:tblStylePr>
    <w:tblStylePr w:type="firstCol">
      <w:rPr>
        <w:color w:val="FFFFFF" w:themeColor="background1"/>
      </w:rPr>
      <w:tblPr/>
      <w:tcPr>
        <w:tcBorders>
          <w:top w:val="nil"/>
          <w:left w:val="nil"/>
          <w:bottom w:val="nil"/>
          <w:right w:val="nil"/>
          <w:insideH w:val="single" w:sz="4" w:space="0" w:color="590228" w:themeColor="accent2" w:themeShade="99"/>
          <w:insideV w:val="nil"/>
        </w:tcBorders>
        <w:shd w:val="clear" w:color="auto" w:fill="59022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90228" w:themeFill="accent2" w:themeFillShade="99"/>
      </w:tcPr>
    </w:tblStylePr>
    <w:tblStylePr w:type="band1Vert">
      <w:tblPr/>
      <w:tcPr>
        <w:shd w:val="clear" w:color="auto" w:fill="FB74AE" w:themeFill="accent2" w:themeFillTint="66"/>
      </w:tcPr>
    </w:tblStylePr>
    <w:tblStylePr w:type="band1Horz">
      <w:tblPr/>
      <w:tcPr>
        <w:shd w:val="clear" w:color="auto" w:fill="FA529A" w:themeFill="accent2" w:themeFillTint="7F"/>
      </w:tcPr>
    </w:tblStylePr>
    <w:tblStylePr w:type="neCell">
      <w:rPr>
        <w:color w:val="FFFFFF" w:themeColor="text1"/>
      </w:rPr>
    </w:tblStylePr>
    <w:tblStylePr w:type="nwCell">
      <w:rPr>
        <w:color w:val="FFFFFF" w:themeColor="text1"/>
      </w:rPr>
    </w:tblStylePr>
  </w:style>
  <w:style w:type="table" w:styleId="ColorfulShading-Accent3">
    <w:name w:val="Colorful Shading Accent 3"/>
    <w:basedOn w:val="TableNormal"/>
    <w:uiPriority w:val="71"/>
    <w:pPr>
      <w:spacing w:after="0"/>
    </w:pPr>
    <w:rPr>
      <w:color w:val="FFFFFF" w:themeColor="text1"/>
    </w:rPr>
    <w:tblPr>
      <w:tblStyleRowBandSize w:val="1"/>
      <w:tblStyleColBandSize w:val="1"/>
      <w:tblBorders>
        <w:top w:val="single" w:sz="24" w:space="0" w:color="FFE7E7" w:themeColor="accent4"/>
        <w:left w:val="single" w:sz="4" w:space="0" w:color="AB054C" w:themeColor="accent3"/>
        <w:bottom w:val="single" w:sz="4" w:space="0" w:color="AB054C" w:themeColor="accent3"/>
        <w:right w:val="single" w:sz="4" w:space="0" w:color="AB054C" w:themeColor="accent3"/>
        <w:insideH w:val="single" w:sz="4" w:space="0" w:color="FFFFFF" w:themeColor="background1"/>
        <w:insideV w:val="single" w:sz="4" w:space="0" w:color="FFFFFF" w:themeColor="background1"/>
      </w:tblBorders>
    </w:tblPr>
    <w:tcPr>
      <w:shd w:val="clear" w:color="auto" w:fill="FEDEEC" w:themeFill="accent3" w:themeFillTint="19"/>
    </w:tcPr>
    <w:tblStylePr w:type="firstRow">
      <w:rPr>
        <w:b/>
        <w:bCs/>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6032D" w:themeFill="accent3" w:themeFillShade="99"/>
      </w:tcPr>
    </w:tblStylePr>
    <w:tblStylePr w:type="firstCol">
      <w:rPr>
        <w:color w:val="FFFFFF" w:themeColor="background1"/>
      </w:rPr>
      <w:tblPr/>
      <w:tcPr>
        <w:tcBorders>
          <w:top w:val="nil"/>
          <w:left w:val="nil"/>
          <w:bottom w:val="nil"/>
          <w:right w:val="nil"/>
          <w:insideH w:val="single" w:sz="4" w:space="0" w:color="66032D" w:themeColor="accent3" w:themeShade="99"/>
          <w:insideV w:val="nil"/>
        </w:tcBorders>
        <w:shd w:val="clear" w:color="auto" w:fill="66032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6032D" w:themeFill="accent3" w:themeFillShade="99"/>
      </w:tcPr>
    </w:tblStylePr>
    <w:tblStylePr w:type="band1Vert">
      <w:tblPr/>
      <w:tcPr>
        <w:shd w:val="clear" w:color="auto" w:fill="FB7DB3" w:themeFill="accent3" w:themeFillTint="66"/>
      </w:tcPr>
    </w:tblStylePr>
    <w:tblStylePr w:type="band1Horz">
      <w:tblPr/>
      <w:tcPr>
        <w:shd w:val="clear" w:color="auto" w:fill="FA5DA0" w:themeFill="accent3" w:themeFillTint="7F"/>
      </w:tcPr>
    </w:tblStylePr>
  </w:style>
  <w:style w:type="table" w:styleId="ColorfulShading-Accent4">
    <w:name w:val="Colorful Shading Accent 4"/>
    <w:basedOn w:val="TableNormal"/>
    <w:uiPriority w:val="71"/>
    <w:pPr>
      <w:spacing w:after="0"/>
    </w:pPr>
    <w:rPr>
      <w:color w:val="FFFFFF" w:themeColor="text1"/>
    </w:rPr>
    <w:tblPr>
      <w:tblStyleRowBandSize w:val="1"/>
      <w:tblStyleColBandSize w:val="1"/>
      <w:tblBorders>
        <w:top w:val="single" w:sz="24" w:space="0" w:color="AB054C" w:themeColor="accent3"/>
        <w:left w:val="single" w:sz="4" w:space="0" w:color="FFE7E7" w:themeColor="accent4"/>
        <w:bottom w:val="single" w:sz="4" w:space="0" w:color="FFE7E7" w:themeColor="accent4"/>
        <w:right w:val="single" w:sz="4" w:space="0" w:color="FFE7E7" w:themeColor="accent4"/>
        <w:insideH w:val="single" w:sz="4" w:space="0" w:color="FFFFFF" w:themeColor="background1"/>
        <w:insideV w:val="single" w:sz="4" w:space="0" w:color="FFFFFF" w:themeColor="background1"/>
      </w:tblBorders>
    </w:tblPr>
    <w:tcPr>
      <w:shd w:val="clear" w:color="auto" w:fill="FFFCFC" w:themeFill="accent4" w:themeFillTint="19"/>
    </w:tcPr>
    <w:tblStylePr w:type="firstRow">
      <w:rPr>
        <w:b/>
        <w:bCs/>
      </w:rPr>
      <w:tblPr/>
      <w:tcPr>
        <w:tcBorders>
          <w:top w:val="nil"/>
          <w:left w:val="nil"/>
          <w:bottom w:val="single" w:sz="24" w:space="0" w:color="AB054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F2424" w:themeFill="accent4" w:themeFillShade="99"/>
      </w:tcPr>
    </w:tblStylePr>
    <w:tblStylePr w:type="firstCol">
      <w:rPr>
        <w:color w:val="FFFFFF" w:themeColor="background1"/>
      </w:rPr>
      <w:tblPr/>
      <w:tcPr>
        <w:tcBorders>
          <w:top w:val="nil"/>
          <w:left w:val="nil"/>
          <w:bottom w:val="nil"/>
          <w:right w:val="nil"/>
          <w:insideH w:val="single" w:sz="4" w:space="0" w:color="FF2424" w:themeColor="accent4" w:themeShade="99"/>
          <w:insideV w:val="nil"/>
        </w:tcBorders>
        <w:shd w:val="clear" w:color="auto" w:fill="FF24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FF2424" w:themeFill="accent4" w:themeFillShade="99"/>
      </w:tcPr>
    </w:tblStylePr>
    <w:tblStylePr w:type="band1Vert">
      <w:tblPr/>
      <w:tcPr>
        <w:shd w:val="clear" w:color="auto" w:fill="FFF5F5" w:themeFill="accent4" w:themeFillTint="66"/>
      </w:tcPr>
    </w:tblStylePr>
    <w:tblStylePr w:type="band1Horz">
      <w:tblPr/>
      <w:tcPr>
        <w:shd w:val="clear" w:color="auto" w:fill="FFF3F3" w:themeFill="accent4" w:themeFillTint="7F"/>
      </w:tcPr>
    </w:tblStylePr>
    <w:tblStylePr w:type="neCell">
      <w:rPr>
        <w:color w:val="FFFFFF" w:themeColor="text1"/>
      </w:rPr>
    </w:tblStylePr>
    <w:tblStylePr w:type="nwCell">
      <w:rPr>
        <w:color w:val="FFFFFF" w:themeColor="text1"/>
      </w:rPr>
    </w:tblStylePr>
  </w:style>
  <w:style w:type="table" w:styleId="ColorfulShading-Accent5">
    <w:name w:val="Colorful Shading Accent 5"/>
    <w:basedOn w:val="TableNormal"/>
    <w:uiPriority w:val="71"/>
    <w:pPr>
      <w:spacing w:after="0"/>
    </w:pPr>
    <w:rPr>
      <w:color w:val="FFFFFF" w:themeColor="text1"/>
    </w:rPr>
    <w:tblPr>
      <w:tblStyleRowBandSize w:val="1"/>
      <w:tblStyleColBandSize w:val="1"/>
      <w:tblBorders>
        <w:top w:val="single" w:sz="24" w:space="0" w:color="700015" w:themeColor="accent6"/>
        <w:left w:val="single" w:sz="4" w:space="0" w:color="FEDADD" w:themeColor="accent5"/>
        <w:bottom w:val="single" w:sz="4" w:space="0" w:color="FEDADD" w:themeColor="accent5"/>
        <w:right w:val="single" w:sz="4" w:space="0" w:color="FEDADD" w:themeColor="accent5"/>
        <w:insideH w:val="single" w:sz="4" w:space="0" w:color="FFFFFF" w:themeColor="background1"/>
        <w:insideV w:val="single" w:sz="4" w:space="0" w:color="FFFFFF" w:themeColor="background1"/>
      </w:tblBorders>
    </w:tblPr>
    <w:tcPr>
      <w:shd w:val="clear" w:color="auto" w:fill="FFFBFB" w:themeFill="accent5" w:themeFillTint="19"/>
    </w:tcPr>
    <w:tblStylePr w:type="firstRow">
      <w:rPr>
        <w:b/>
        <w:bCs/>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92233" w:themeFill="accent5" w:themeFillShade="99"/>
      </w:tcPr>
    </w:tblStylePr>
    <w:tblStylePr w:type="firstCol">
      <w:rPr>
        <w:color w:val="FFFFFF" w:themeColor="background1"/>
      </w:rPr>
      <w:tblPr/>
      <w:tcPr>
        <w:tcBorders>
          <w:top w:val="nil"/>
          <w:left w:val="nil"/>
          <w:bottom w:val="nil"/>
          <w:right w:val="nil"/>
          <w:insideH w:val="single" w:sz="4" w:space="0" w:color="F92233" w:themeColor="accent5" w:themeShade="99"/>
          <w:insideV w:val="nil"/>
        </w:tcBorders>
        <w:shd w:val="clear" w:color="auto" w:fill="F9223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F92233" w:themeFill="accent5" w:themeFillShade="99"/>
      </w:tcPr>
    </w:tblStylePr>
    <w:tblStylePr w:type="band1Vert">
      <w:tblPr/>
      <w:tcPr>
        <w:shd w:val="clear" w:color="auto" w:fill="FEF0F1" w:themeFill="accent5" w:themeFillTint="66"/>
      </w:tcPr>
    </w:tblStylePr>
    <w:tblStylePr w:type="band1Horz">
      <w:tblPr/>
      <w:tcPr>
        <w:shd w:val="clear" w:color="auto" w:fill="FEECED" w:themeFill="accent5" w:themeFillTint="7F"/>
      </w:tcPr>
    </w:tblStylePr>
    <w:tblStylePr w:type="neCell">
      <w:rPr>
        <w:color w:val="FFFFFF" w:themeColor="text1"/>
      </w:rPr>
    </w:tblStylePr>
    <w:tblStylePr w:type="nwCell">
      <w:rPr>
        <w:color w:val="FFFFFF" w:themeColor="text1"/>
      </w:rPr>
    </w:tblStylePr>
  </w:style>
  <w:style w:type="table" w:styleId="ColorfulShading-Accent6">
    <w:name w:val="Colorful Shading Accent 6"/>
    <w:basedOn w:val="TableNormal"/>
    <w:uiPriority w:val="71"/>
    <w:pPr>
      <w:spacing w:after="0"/>
    </w:pPr>
    <w:rPr>
      <w:color w:val="FFFFFF" w:themeColor="text1"/>
    </w:rPr>
    <w:tblPr>
      <w:tblStyleRowBandSize w:val="1"/>
      <w:tblStyleColBandSize w:val="1"/>
      <w:tblBorders>
        <w:top w:val="single" w:sz="24" w:space="0" w:color="FEDADD" w:themeColor="accent5"/>
        <w:left w:val="single" w:sz="4" w:space="0" w:color="700015" w:themeColor="accent6"/>
        <w:bottom w:val="single" w:sz="4" w:space="0" w:color="700015" w:themeColor="accent6"/>
        <w:right w:val="single" w:sz="4" w:space="0" w:color="700015" w:themeColor="accent6"/>
        <w:insideH w:val="single" w:sz="4" w:space="0" w:color="FFFFFF" w:themeColor="background1"/>
        <w:insideV w:val="single" w:sz="4" w:space="0" w:color="FFFFFF" w:themeColor="background1"/>
      </w:tblBorders>
    </w:tblPr>
    <w:tcPr>
      <w:shd w:val="clear" w:color="auto" w:fill="FFD7DE" w:themeFill="accent6" w:themeFillTint="19"/>
    </w:tcPr>
    <w:tblStylePr w:type="firstRow">
      <w:rPr>
        <w:b/>
        <w:bCs/>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00C" w:themeFill="accent6" w:themeFillShade="99"/>
      </w:tcPr>
    </w:tblStylePr>
    <w:tblStylePr w:type="firstCol">
      <w:rPr>
        <w:color w:val="FFFFFF" w:themeColor="background1"/>
      </w:rPr>
      <w:tblPr/>
      <w:tcPr>
        <w:tcBorders>
          <w:top w:val="nil"/>
          <w:left w:val="nil"/>
          <w:bottom w:val="nil"/>
          <w:right w:val="nil"/>
          <w:insideH w:val="single" w:sz="4" w:space="0" w:color="43000C" w:themeColor="accent6" w:themeShade="99"/>
          <w:insideV w:val="nil"/>
        </w:tcBorders>
        <w:shd w:val="clear" w:color="auto" w:fill="43000C"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000C" w:themeFill="accent6" w:themeFillShade="99"/>
      </w:tcPr>
    </w:tblStylePr>
    <w:tblStylePr w:type="band1Vert">
      <w:tblPr/>
      <w:tcPr>
        <w:shd w:val="clear" w:color="auto" w:fill="FF5F7D" w:themeFill="accent6" w:themeFillTint="66"/>
      </w:tcPr>
    </w:tblStylePr>
    <w:tblStylePr w:type="band1Horz">
      <w:tblPr/>
      <w:tcPr>
        <w:shd w:val="clear" w:color="auto" w:fill="FF385D" w:themeFill="accent6" w:themeFillTint="7F"/>
      </w:tcPr>
    </w:tblStylePr>
    <w:tblStylePr w:type="neCell">
      <w:rPr>
        <w:color w:val="FFFFFF" w:themeColor="text1"/>
      </w:rPr>
    </w:tblStylePr>
    <w:tblStylePr w:type="nwCell">
      <w:rPr>
        <w:color w:val="FFFFFF" w:themeColor="text1"/>
      </w:rPr>
    </w:tblStylePr>
  </w:style>
  <w:style w:type="character" w:styleId="CommentReference">
    <w:name w:val="annotation reference"/>
    <w:basedOn w:val="DefaultParagraphFont"/>
    <w:uiPriority w:val="99"/>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pPr>
    <w:rPr>
      <w:color w:val="FFFFFF" w:themeColor="background1"/>
    </w:rPr>
    <w:tblPr>
      <w:tblStyleRowBandSize w:val="1"/>
      <w:tblStyleColBandSize w:val="1"/>
    </w:tblPr>
    <w:tcPr>
      <w:shd w:val="clear" w:color="auto" w:fill="FFFFFF" w:themeFill="tex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7F7F7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BFBFB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BFBFBF" w:themeFill="text1" w:themeFillShade="BF"/>
      </w:tcPr>
    </w:tblStylePr>
    <w:tblStylePr w:type="band1Vert">
      <w:tblPr/>
      <w:tcPr>
        <w:tcBorders>
          <w:top w:val="nil"/>
          <w:left w:val="nil"/>
          <w:bottom w:val="nil"/>
          <w:right w:val="nil"/>
          <w:insideH w:val="nil"/>
          <w:insideV w:val="nil"/>
        </w:tcBorders>
        <w:shd w:val="clear" w:color="auto" w:fill="BFBFBF" w:themeFill="text1" w:themeFillShade="BF"/>
      </w:tcPr>
    </w:tblStylePr>
    <w:tblStylePr w:type="band1Horz">
      <w:tblPr/>
      <w:tcPr>
        <w:tcBorders>
          <w:top w:val="nil"/>
          <w:left w:val="nil"/>
          <w:bottom w:val="nil"/>
          <w:right w:val="nil"/>
          <w:insideH w:val="nil"/>
          <w:insideV w:val="nil"/>
        </w:tcBorders>
        <w:shd w:val="clear" w:color="auto" w:fill="BFBFBF" w:themeFill="text1" w:themeFillShade="BF"/>
      </w:tcPr>
    </w:tblStylePr>
  </w:style>
  <w:style w:type="table" w:styleId="DarkList-Accent1">
    <w:name w:val="Dark List Accent 1"/>
    <w:basedOn w:val="TableNormal"/>
    <w:uiPriority w:val="70"/>
    <w:pPr>
      <w:spacing w:after="0"/>
    </w:pPr>
    <w:rPr>
      <w:color w:val="FFFFFF" w:themeColor="background1"/>
    </w:rPr>
    <w:tblPr>
      <w:tblStyleRowBandSize w:val="1"/>
      <w:tblStyleColBandSize w:val="1"/>
    </w:tblPr>
    <w:tcPr>
      <w:shd w:val="clear" w:color="auto" w:fill="8A002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44001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7002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70022" w:themeFill="accent1" w:themeFillShade="BF"/>
      </w:tcPr>
    </w:tblStylePr>
    <w:tblStylePr w:type="band1Vert">
      <w:tblPr/>
      <w:tcPr>
        <w:tcBorders>
          <w:top w:val="nil"/>
          <w:left w:val="nil"/>
          <w:bottom w:val="nil"/>
          <w:right w:val="nil"/>
          <w:insideH w:val="nil"/>
          <w:insideV w:val="nil"/>
        </w:tcBorders>
        <w:shd w:val="clear" w:color="auto" w:fill="670022" w:themeFill="accent1" w:themeFillShade="BF"/>
      </w:tcPr>
    </w:tblStylePr>
    <w:tblStylePr w:type="band1Horz">
      <w:tblPr/>
      <w:tcPr>
        <w:tcBorders>
          <w:top w:val="nil"/>
          <w:left w:val="nil"/>
          <w:bottom w:val="nil"/>
          <w:right w:val="nil"/>
          <w:insideH w:val="nil"/>
          <w:insideV w:val="nil"/>
        </w:tcBorders>
        <w:shd w:val="clear" w:color="auto" w:fill="670022" w:themeFill="accent1" w:themeFillShade="BF"/>
      </w:tcPr>
    </w:tblStylePr>
  </w:style>
  <w:style w:type="table" w:styleId="DarkList-Accent2">
    <w:name w:val="Dark List Accent 2"/>
    <w:basedOn w:val="TableNormal"/>
    <w:uiPriority w:val="70"/>
    <w:pPr>
      <w:spacing w:after="0"/>
    </w:pPr>
    <w:rPr>
      <w:color w:val="FFFFFF" w:themeColor="background1"/>
    </w:rPr>
    <w:tblPr>
      <w:tblStyleRowBandSize w:val="1"/>
      <w:tblStyleColBandSize w:val="1"/>
    </w:tblPr>
    <w:tcPr>
      <w:shd w:val="clear" w:color="auto" w:fill="96044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4A022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0033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00332" w:themeFill="accent2" w:themeFillShade="BF"/>
      </w:tcPr>
    </w:tblStylePr>
    <w:tblStylePr w:type="band1Vert">
      <w:tblPr/>
      <w:tcPr>
        <w:tcBorders>
          <w:top w:val="nil"/>
          <w:left w:val="nil"/>
          <w:bottom w:val="nil"/>
          <w:right w:val="nil"/>
          <w:insideH w:val="nil"/>
          <w:insideV w:val="nil"/>
        </w:tcBorders>
        <w:shd w:val="clear" w:color="auto" w:fill="700332" w:themeFill="accent2" w:themeFillShade="BF"/>
      </w:tcPr>
    </w:tblStylePr>
    <w:tblStylePr w:type="band1Horz">
      <w:tblPr/>
      <w:tcPr>
        <w:tcBorders>
          <w:top w:val="nil"/>
          <w:left w:val="nil"/>
          <w:bottom w:val="nil"/>
          <w:right w:val="nil"/>
          <w:insideH w:val="nil"/>
          <w:insideV w:val="nil"/>
        </w:tcBorders>
        <w:shd w:val="clear" w:color="auto" w:fill="700332" w:themeFill="accent2" w:themeFillShade="BF"/>
      </w:tcPr>
    </w:tblStylePr>
  </w:style>
  <w:style w:type="table" w:styleId="DarkList-Accent3">
    <w:name w:val="Dark List Accent 3"/>
    <w:basedOn w:val="TableNormal"/>
    <w:uiPriority w:val="70"/>
    <w:pPr>
      <w:spacing w:after="0"/>
    </w:pPr>
    <w:rPr>
      <w:color w:val="FFFFFF" w:themeColor="background1"/>
    </w:rPr>
    <w:tblPr>
      <w:tblStyleRowBandSize w:val="1"/>
      <w:tblStyleColBandSize w:val="1"/>
    </w:tblPr>
    <w:tcPr>
      <w:shd w:val="clear" w:color="auto" w:fill="AB054C"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54022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F033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F0338" w:themeFill="accent3" w:themeFillShade="BF"/>
      </w:tcPr>
    </w:tblStylePr>
    <w:tblStylePr w:type="band1Vert">
      <w:tblPr/>
      <w:tcPr>
        <w:tcBorders>
          <w:top w:val="nil"/>
          <w:left w:val="nil"/>
          <w:bottom w:val="nil"/>
          <w:right w:val="nil"/>
          <w:insideH w:val="nil"/>
          <w:insideV w:val="nil"/>
        </w:tcBorders>
        <w:shd w:val="clear" w:color="auto" w:fill="7F0338" w:themeFill="accent3" w:themeFillShade="BF"/>
      </w:tcPr>
    </w:tblStylePr>
    <w:tblStylePr w:type="band1Horz">
      <w:tblPr/>
      <w:tcPr>
        <w:tcBorders>
          <w:top w:val="nil"/>
          <w:left w:val="nil"/>
          <w:bottom w:val="nil"/>
          <w:right w:val="nil"/>
          <w:insideH w:val="nil"/>
          <w:insideV w:val="nil"/>
        </w:tcBorders>
        <w:shd w:val="clear" w:color="auto" w:fill="7F0338" w:themeFill="accent3" w:themeFillShade="BF"/>
      </w:tcPr>
    </w:tblStylePr>
  </w:style>
  <w:style w:type="table" w:styleId="DarkList-Accent4">
    <w:name w:val="Dark List Accent 4"/>
    <w:basedOn w:val="TableNormal"/>
    <w:uiPriority w:val="70"/>
    <w:pPr>
      <w:spacing w:after="0"/>
    </w:pPr>
    <w:rPr>
      <w:color w:val="FFFFFF" w:themeColor="background1"/>
    </w:rPr>
    <w:tblPr>
      <w:tblStyleRowBandSize w:val="1"/>
      <w:tblStyleColBandSize w:val="1"/>
    </w:tblPr>
    <w:tcPr>
      <w:shd w:val="clear" w:color="auto" w:fill="FFE7E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F20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FF6D6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FF6D6D" w:themeFill="accent4" w:themeFillShade="BF"/>
      </w:tcPr>
    </w:tblStylePr>
    <w:tblStylePr w:type="band1Vert">
      <w:tblPr/>
      <w:tcPr>
        <w:tcBorders>
          <w:top w:val="nil"/>
          <w:left w:val="nil"/>
          <w:bottom w:val="nil"/>
          <w:right w:val="nil"/>
          <w:insideH w:val="nil"/>
          <w:insideV w:val="nil"/>
        </w:tcBorders>
        <w:shd w:val="clear" w:color="auto" w:fill="FF6D6D" w:themeFill="accent4" w:themeFillShade="BF"/>
      </w:tcPr>
    </w:tblStylePr>
    <w:tblStylePr w:type="band1Horz">
      <w:tblPr/>
      <w:tcPr>
        <w:tcBorders>
          <w:top w:val="nil"/>
          <w:left w:val="nil"/>
          <w:bottom w:val="nil"/>
          <w:right w:val="nil"/>
          <w:insideH w:val="nil"/>
          <w:insideV w:val="nil"/>
        </w:tcBorders>
        <w:shd w:val="clear" w:color="auto" w:fill="FF6D6D" w:themeFill="accent4" w:themeFillShade="BF"/>
      </w:tcPr>
    </w:tblStylePr>
  </w:style>
  <w:style w:type="table" w:styleId="DarkList-Accent5">
    <w:name w:val="Dark List Accent 5"/>
    <w:basedOn w:val="TableNormal"/>
    <w:uiPriority w:val="70"/>
    <w:pPr>
      <w:spacing w:after="0"/>
    </w:pPr>
    <w:rPr>
      <w:color w:val="FFFFFF" w:themeColor="background1"/>
    </w:rPr>
    <w:tblPr>
      <w:tblStyleRowBandSize w:val="1"/>
      <w:tblStyleColBandSize w:val="1"/>
    </w:tblPr>
    <w:tcPr>
      <w:shd w:val="clear" w:color="auto" w:fill="FEDA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E4061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B667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B6672" w:themeFill="accent5" w:themeFillShade="BF"/>
      </w:tcPr>
    </w:tblStylePr>
    <w:tblStylePr w:type="band1Vert">
      <w:tblPr/>
      <w:tcPr>
        <w:tcBorders>
          <w:top w:val="nil"/>
          <w:left w:val="nil"/>
          <w:bottom w:val="nil"/>
          <w:right w:val="nil"/>
          <w:insideH w:val="nil"/>
          <w:insideV w:val="nil"/>
        </w:tcBorders>
        <w:shd w:val="clear" w:color="auto" w:fill="FB6672" w:themeFill="accent5" w:themeFillShade="BF"/>
      </w:tcPr>
    </w:tblStylePr>
    <w:tblStylePr w:type="band1Horz">
      <w:tblPr/>
      <w:tcPr>
        <w:tcBorders>
          <w:top w:val="nil"/>
          <w:left w:val="nil"/>
          <w:bottom w:val="nil"/>
          <w:right w:val="nil"/>
          <w:insideH w:val="nil"/>
          <w:insideV w:val="nil"/>
        </w:tcBorders>
        <w:shd w:val="clear" w:color="auto" w:fill="FB6672" w:themeFill="accent5" w:themeFillShade="BF"/>
      </w:tcPr>
    </w:tblStylePr>
  </w:style>
  <w:style w:type="table" w:styleId="DarkList-Accent6">
    <w:name w:val="Dark List Accent 6"/>
    <w:basedOn w:val="TableNormal"/>
    <w:uiPriority w:val="70"/>
    <w:pPr>
      <w:spacing w:after="0"/>
    </w:pPr>
    <w:rPr>
      <w:color w:val="FFFFFF" w:themeColor="background1"/>
    </w:rPr>
    <w:tblPr>
      <w:tblStyleRowBandSize w:val="1"/>
      <w:tblStyleColBandSize w:val="1"/>
    </w:tblPr>
    <w:tcPr>
      <w:shd w:val="clear" w:color="auto" w:fill="70001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37000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000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000F" w:themeFill="accent6" w:themeFillShade="BF"/>
      </w:tcPr>
    </w:tblStylePr>
    <w:tblStylePr w:type="band1Vert">
      <w:tblPr/>
      <w:tcPr>
        <w:tcBorders>
          <w:top w:val="nil"/>
          <w:left w:val="nil"/>
          <w:bottom w:val="nil"/>
          <w:right w:val="nil"/>
          <w:insideH w:val="nil"/>
          <w:insideV w:val="nil"/>
        </w:tcBorders>
        <w:shd w:val="clear" w:color="auto" w:fill="53000F" w:themeFill="accent6" w:themeFillShade="BF"/>
      </w:tcPr>
    </w:tblStylePr>
    <w:tblStylePr w:type="band1Horz">
      <w:tblPr/>
      <w:tcPr>
        <w:tcBorders>
          <w:top w:val="nil"/>
          <w:left w:val="nil"/>
          <w:bottom w:val="nil"/>
          <w:right w:val="nil"/>
          <w:insideH w:val="nil"/>
          <w:insideV w:val="nil"/>
        </w:tcBorders>
        <w:shd w:val="clear" w:color="auto" w:fill="53000F"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AB054C"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sid w:val="00913AA5"/>
    <w:rPr>
      <w:rFonts w:ascii="Arial Bold" w:eastAsia="Calibri" w:hAnsi="Arial Bold"/>
      <w:b/>
      <w:bCs/>
      <w:color w:val="auto"/>
      <w:sz w:val="28"/>
      <w:u w:val="none"/>
      <w14:ligatures w14:val="standardContextual"/>
    </w:rPr>
  </w:style>
  <w:style w:type="character" w:customStyle="1" w:styleId="Heading4Char">
    <w:name w:val="Heading 4 Char"/>
    <w:basedOn w:val="DefaultParagraphFont"/>
    <w:link w:val="Heading4"/>
    <w:uiPriority w:val="18"/>
    <w:rsid w:val="00043C2B"/>
    <w:rPr>
      <w:rFonts w:asciiTheme="minorHAnsi" w:eastAsiaTheme="majorEastAsia" w:hAnsiTheme="minorHAnsi" w:cstheme="majorBidi"/>
      <w:bCs/>
      <w:iCs/>
      <w:color w:val="FFFFFF" w:themeColor="background1"/>
      <w:sz w:val="36"/>
      <w:u w:val="none"/>
      <w:shd w:val="clear" w:color="auto" w:fill="AB054C"/>
    </w:rPr>
  </w:style>
  <w:style w:type="character" w:customStyle="1" w:styleId="Heading5Char">
    <w:name w:val="Heading 5 Char"/>
    <w:basedOn w:val="DefaultParagraphFont"/>
    <w:link w:val="Heading5"/>
    <w:uiPriority w:val="18"/>
    <w:semiHidden/>
    <w:rPr>
      <w:rFonts w:asciiTheme="majorHAnsi" w:eastAsiaTheme="majorEastAsia" w:hAnsiTheme="majorHAnsi" w:cstheme="majorBidi"/>
      <w:color w:val="440016" w:themeColor="accent1" w:themeShade="7F"/>
      <w:kern w:val="20"/>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440016"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FFFFFF"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FFFFFF"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FFFFFF"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sid w:val="005B394F"/>
    <w:rPr>
      <w:rFonts w:ascii="Arial" w:hAnsi="Arial"/>
      <w:i w:val="0"/>
      <w:color w:val="0070C0"/>
      <w:sz w:val="22"/>
      <w:u w:val="single"/>
    </w:rPr>
  </w:style>
  <w:style w:type="paragraph" w:styleId="Index1">
    <w:name w:val="index 1"/>
    <w:basedOn w:val="Normal"/>
    <w:next w:val="Normal"/>
    <w:autoRedefine/>
    <w:uiPriority w:val="99"/>
    <w:semiHidden/>
    <w:unhideWhenUsed/>
    <w:pPr>
      <w:spacing w:after="0"/>
      <w:ind w:left="220" w:hanging="220"/>
    </w:pPr>
  </w:style>
  <w:style w:type="paragraph" w:styleId="Index2">
    <w:name w:val="index 2"/>
    <w:basedOn w:val="Normal"/>
    <w:next w:val="Normal"/>
    <w:autoRedefine/>
    <w:uiPriority w:val="99"/>
    <w:semiHidden/>
    <w:unhideWhenUsed/>
    <w:pPr>
      <w:spacing w:after="0"/>
      <w:ind w:left="440" w:hanging="220"/>
    </w:pPr>
  </w:style>
  <w:style w:type="paragraph" w:styleId="Index3">
    <w:name w:val="index 3"/>
    <w:basedOn w:val="Normal"/>
    <w:next w:val="Normal"/>
    <w:autoRedefine/>
    <w:uiPriority w:val="99"/>
    <w:semiHidden/>
    <w:unhideWhenUsed/>
    <w:pPr>
      <w:spacing w:after="0"/>
      <w:ind w:left="660" w:hanging="220"/>
    </w:pPr>
  </w:style>
  <w:style w:type="paragraph" w:styleId="Index4">
    <w:name w:val="index 4"/>
    <w:basedOn w:val="Normal"/>
    <w:next w:val="Normal"/>
    <w:autoRedefine/>
    <w:uiPriority w:val="99"/>
    <w:semiHidden/>
    <w:unhideWhenUsed/>
    <w:pPr>
      <w:spacing w:after="0"/>
      <w:ind w:left="880" w:hanging="220"/>
    </w:pPr>
  </w:style>
  <w:style w:type="paragraph" w:styleId="Index5">
    <w:name w:val="index 5"/>
    <w:basedOn w:val="Normal"/>
    <w:next w:val="Normal"/>
    <w:autoRedefine/>
    <w:uiPriority w:val="99"/>
    <w:semiHidden/>
    <w:unhideWhenUsed/>
    <w:pPr>
      <w:spacing w:after="0"/>
      <w:ind w:left="1100" w:hanging="220"/>
    </w:pPr>
  </w:style>
  <w:style w:type="paragraph" w:styleId="Index6">
    <w:name w:val="index 6"/>
    <w:basedOn w:val="Normal"/>
    <w:next w:val="Normal"/>
    <w:autoRedefine/>
    <w:uiPriority w:val="99"/>
    <w:semiHidden/>
    <w:unhideWhenUsed/>
    <w:pPr>
      <w:spacing w:after="0"/>
      <w:ind w:left="1320" w:hanging="220"/>
    </w:pPr>
  </w:style>
  <w:style w:type="paragraph" w:styleId="Index7">
    <w:name w:val="index 7"/>
    <w:basedOn w:val="Normal"/>
    <w:next w:val="Normal"/>
    <w:autoRedefine/>
    <w:uiPriority w:val="99"/>
    <w:semiHidden/>
    <w:unhideWhenUsed/>
    <w:pPr>
      <w:spacing w:after="0"/>
      <w:ind w:left="1540" w:hanging="220"/>
    </w:pPr>
  </w:style>
  <w:style w:type="paragraph" w:styleId="Index8">
    <w:name w:val="index 8"/>
    <w:basedOn w:val="Normal"/>
    <w:next w:val="Normal"/>
    <w:autoRedefine/>
    <w:uiPriority w:val="99"/>
    <w:semiHidden/>
    <w:unhideWhenUsed/>
    <w:pPr>
      <w:spacing w:after="0"/>
      <w:ind w:left="1760" w:hanging="220"/>
    </w:pPr>
  </w:style>
  <w:style w:type="paragraph" w:styleId="Index9">
    <w:name w:val="index 9"/>
    <w:basedOn w:val="Normal"/>
    <w:next w:val="Normal"/>
    <w:autoRedefine/>
    <w:uiPriority w:val="99"/>
    <w:semiHidden/>
    <w:unhideWhenUsed/>
    <w:pPr>
      <w:spacing w:after="0"/>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Pr>
      <w:b/>
      <w:bCs/>
      <w:i/>
      <w:iCs/>
      <w:color w:val="8A002E" w:themeColor="accent1"/>
    </w:rPr>
  </w:style>
  <w:style w:type="paragraph" w:styleId="IntenseQuote">
    <w:name w:val="Intense Quote"/>
    <w:basedOn w:val="Normal"/>
    <w:next w:val="Normal"/>
    <w:link w:val="IntenseQuoteChar"/>
    <w:uiPriority w:val="30"/>
    <w:semiHidden/>
    <w:unhideWhenUsed/>
    <w:pPr>
      <w:pBdr>
        <w:bottom w:val="single" w:sz="4" w:space="4" w:color="8A002E" w:themeColor="accent1"/>
      </w:pBdr>
      <w:spacing w:before="200" w:after="280"/>
      <w:ind w:left="936" w:right="936"/>
    </w:pPr>
    <w:rPr>
      <w:b/>
      <w:bCs/>
      <w:i/>
      <w:iCs/>
      <w:color w:val="8A002E" w:themeColor="accent1"/>
    </w:rPr>
  </w:style>
  <w:style w:type="character" w:customStyle="1" w:styleId="IntenseQuoteChar">
    <w:name w:val="Intense Quote Char"/>
    <w:basedOn w:val="DefaultParagraphFont"/>
    <w:link w:val="IntenseQuote"/>
    <w:uiPriority w:val="30"/>
    <w:semiHidden/>
    <w:rPr>
      <w:b/>
      <w:bCs/>
      <w:i/>
      <w:iCs/>
      <w:color w:val="8A002E" w:themeColor="accent1"/>
    </w:rPr>
  </w:style>
  <w:style w:type="character" w:styleId="IntenseReference">
    <w:name w:val="Intense Reference"/>
    <w:basedOn w:val="DefaultParagraphFont"/>
    <w:uiPriority w:val="32"/>
    <w:semiHidden/>
    <w:unhideWhenUsed/>
    <w:rPr>
      <w:b/>
      <w:bCs/>
      <w:smallCaps/>
      <w:color w:val="960443" w:themeColor="accent2"/>
      <w:spacing w:val="5"/>
      <w:u w:val="single"/>
    </w:rPr>
  </w:style>
  <w:style w:type="table" w:styleId="LightGrid">
    <w:name w:val="Light Grid"/>
    <w:basedOn w:val="TableNormal"/>
    <w:uiPriority w:val="62"/>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18" w:space="0" w:color="FFFFFF" w:themeColor="text1"/>
          <w:right w:val="single" w:sz="8" w:space="0" w:color="FFFFFF" w:themeColor="text1"/>
          <w:insideH w:val="nil"/>
          <w:insideV w:val="single" w:sz="8" w:space="0" w:color="FFFFF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insideH w:val="nil"/>
          <w:insideV w:val="single" w:sz="8" w:space="0" w:color="FFFFF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shd w:val="clear" w:color="auto" w:fill="FFFFFF" w:themeFill="text1" w:themeFillTint="3F"/>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shd w:val="clear" w:color="auto" w:fill="FFFFFF" w:themeFill="text1" w:themeFillTint="3F"/>
      </w:tcPr>
    </w:tblStylePr>
    <w:tblStylePr w:type="band2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tcPr>
    </w:tblStylePr>
  </w:style>
  <w:style w:type="table" w:styleId="LightGrid-Accent1">
    <w:name w:val="Light Grid Accent 1"/>
    <w:basedOn w:val="TableNormal"/>
    <w:uiPriority w:val="62"/>
    <w:pPr>
      <w:spacing w:after="0"/>
    </w:pPr>
    <w:tblPr>
      <w:tblStyleRowBandSize w:val="1"/>
      <w:tblStyleColBandSize w:val="1"/>
      <w:tblBorders>
        <w:top w:val="single" w:sz="8" w:space="0" w:color="8A002E" w:themeColor="accent1"/>
        <w:left w:val="single" w:sz="8" w:space="0" w:color="8A002E" w:themeColor="accent1"/>
        <w:bottom w:val="single" w:sz="8" w:space="0" w:color="8A002E" w:themeColor="accent1"/>
        <w:right w:val="single" w:sz="8" w:space="0" w:color="8A002E" w:themeColor="accent1"/>
        <w:insideH w:val="single" w:sz="8" w:space="0" w:color="8A002E" w:themeColor="accent1"/>
        <w:insideV w:val="single" w:sz="8" w:space="0" w:color="8A002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002E" w:themeColor="accent1"/>
          <w:left w:val="single" w:sz="8" w:space="0" w:color="8A002E" w:themeColor="accent1"/>
          <w:bottom w:val="single" w:sz="18" w:space="0" w:color="8A002E" w:themeColor="accent1"/>
          <w:right w:val="single" w:sz="8" w:space="0" w:color="8A002E" w:themeColor="accent1"/>
          <w:insideH w:val="nil"/>
          <w:insideV w:val="single" w:sz="8" w:space="0" w:color="8A002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002E" w:themeColor="accent1"/>
          <w:left w:val="single" w:sz="8" w:space="0" w:color="8A002E" w:themeColor="accent1"/>
          <w:bottom w:val="single" w:sz="8" w:space="0" w:color="8A002E" w:themeColor="accent1"/>
          <w:right w:val="single" w:sz="8" w:space="0" w:color="8A002E" w:themeColor="accent1"/>
          <w:insideH w:val="nil"/>
          <w:insideV w:val="single" w:sz="8" w:space="0" w:color="8A002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002E" w:themeColor="accent1"/>
          <w:left w:val="single" w:sz="8" w:space="0" w:color="8A002E" w:themeColor="accent1"/>
          <w:bottom w:val="single" w:sz="8" w:space="0" w:color="8A002E" w:themeColor="accent1"/>
          <w:right w:val="single" w:sz="8" w:space="0" w:color="8A002E" w:themeColor="accent1"/>
        </w:tcBorders>
      </w:tcPr>
    </w:tblStylePr>
    <w:tblStylePr w:type="band1Vert">
      <w:tblPr/>
      <w:tcPr>
        <w:tcBorders>
          <w:top w:val="single" w:sz="8" w:space="0" w:color="8A002E" w:themeColor="accent1"/>
          <w:left w:val="single" w:sz="8" w:space="0" w:color="8A002E" w:themeColor="accent1"/>
          <w:bottom w:val="single" w:sz="8" w:space="0" w:color="8A002E" w:themeColor="accent1"/>
          <w:right w:val="single" w:sz="8" w:space="0" w:color="8A002E" w:themeColor="accent1"/>
        </w:tcBorders>
        <w:shd w:val="clear" w:color="auto" w:fill="FFA3C1" w:themeFill="accent1" w:themeFillTint="3F"/>
      </w:tcPr>
    </w:tblStylePr>
    <w:tblStylePr w:type="band1Horz">
      <w:tblPr/>
      <w:tcPr>
        <w:tcBorders>
          <w:top w:val="single" w:sz="8" w:space="0" w:color="8A002E" w:themeColor="accent1"/>
          <w:left w:val="single" w:sz="8" w:space="0" w:color="8A002E" w:themeColor="accent1"/>
          <w:bottom w:val="single" w:sz="8" w:space="0" w:color="8A002E" w:themeColor="accent1"/>
          <w:right w:val="single" w:sz="8" w:space="0" w:color="8A002E" w:themeColor="accent1"/>
          <w:insideV w:val="single" w:sz="8" w:space="0" w:color="8A002E" w:themeColor="accent1"/>
        </w:tcBorders>
        <w:shd w:val="clear" w:color="auto" w:fill="FFA3C1" w:themeFill="accent1" w:themeFillTint="3F"/>
      </w:tcPr>
    </w:tblStylePr>
    <w:tblStylePr w:type="band2Horz">
      <w:tblPr/>
      <w:tcPr>
        <w:tcBorders>
          <w:top w:val="single" w:sz="8" w:space="0" w:color="8A002E" w:themeColor="accent1"/>
          <w:left w:val="single" w:sz="8" w:space="0" w:color="8A002E" w:themeColor="accent1"/>
          <w:bottom w:val="single" w:sz="8" w:space="0" w:color="8A002E" w:themeColor="accent1"/>
          <w:right w:val="single" w:sz="8" w:space="0" w:color="8A002E" w:themeColor="accent1"/>
          <w:insideV w:val="single" w:sz="8" w:space="0" w:color="8A002E" w:themeColor="accent1"/>
        </w:tcBorders>
      </w:tcPr>
    </w:tblStylePr>
  </w:style>
  <w:style w:type="table" w:styleId="LightGrid-Accent2">
    <w:name w:val="Light Grid Accent 2"/>
    <w:basedOn w:val="TableNormal"/>
    <w:uiPriority w:val="62"/>
    <w:pPr>
      <w:spacing w:after="0"/>
    </w:pPr>
    <w:tblPr>
      <w:tblStyleRowBandSize w:val="1"/>
      <w:tblStyleColBandSize w:val="1"/>
      <w:tblBorders>
        <w:top w:val="single" w:sz="8" w:space="0" w:color="960443" w:themeColor="accent2"/>
        <w:left w:val="single" w:sz="8" w:space="0" w:color="960443" w:themeColor="accent2"/>
        <w:bottom w:val="single" w:sz="8" w:space="0" w:color="960443" w:themeColor="accent2"/>
        <w:right w:val="single" w:sz="8" w:space="0" w:color="960443" w:themeColor="accent2"/>
        <w:insideH w:val="single" w:sz="8" w:space="0" w:color="960443" w:themeColor="accent2"/>
        <w:insideV w:val="single" w:sz="8" w:space="0" w:color="96044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60443" w:themeColor="accent2"/>
          <w:left w:val="single" w:sz="8" w:space="0" w:color="960443" w:themeColor="accent2"/>
          <w:bottom w:val="single" w:sz="18" w:space="0" w:color="960443" w:themeColor="accent2"/>
          <w:right w:val="single" w:sz="8" w:space="0" w:color="960443" w:themeColor="accent2"/>
          <w:insideH w:val="nil"/>
          <w:insideV w:val="single" w:sz="8" w:space="0" w:color="96044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60443" w:themeColor="accent2"/>
          <w:left w:val="single" w:sz="8" w:space="0" w:color="960443" w:themeColor="accent2"/>
          <w:bottom w:val="single" w:sz="8" w:space="0" w:color="960443" w:themeColor="accent2"/>
          <w:right w:val="single" w:sz="8" w:space="0" w:color="960443" w:themeColor="accent2"/>
          <w:insideH w:val="nil"/>
          <w:insideV w:val="single" w:sz="8" w:space="0" w:color="96044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60443" w:themeColor="accent2"/>
          <w:left w:val="single" w:sz="8" w:space="0" w:color="960443" w:themeColor="accent2"/>
          <w:bottom w:val="single" w:sz="8" w:space="0" w:color="960443" w:themeColor="accent2"/>
          <w:right w:val="single" w:sz="8" w:space="0" w:color="960443" w:themeColor="accent2"/>
        </w:tcBorders>
      </w:tcPr>
    </w:tblStylePr>
    <w:tblStylePr w:type="band1Vert">
      <w:tblPr/>
      <w:tcPr>
        <w:tcBorders>
          <w:top w:val="single" w:sz="8" w:space="0" w:color="960443" w:themeColor="accent2"/>
          <w:left w:val="single" w:sz="8" w:space="0" w:color="960443" w:themeColor="accent2"/>
          <w:bottom w:val="single" w:sz="8" w:space="0" w:color="960443" w:themeColor="accent2"/>
          <w:right w:val="single" w:sz="8" w:space="0" w:color="960443" w:themeColor="accent2"/>
        </w:tcBorders>
        <w:shd w:val="clear" w:color="auto" w:fill="FCA9CD" w:themeFill="accent2" w:themeFillTint="3F"/>
      </w:tcPr>
    </w:tblStylePr>
    <w:tblStylePr w:type="band1Horz">
      <w:tblPr/>
      <w:tcPr>
        <w:tcBorders>
          <w:top w:val="single" w:sz="8" w:space="0" w:color="960443" w:themeColor="accent2"/>
          <w:left w:val="single" w:sz="8" w:space="0" w:color="960443" w:themeColor="accent2"/>
          <w:bottom w:val="single" w:sz="8" w:space="0" w:color="960443" w:themeColor="accent2"/>
          <w:right w:val="single" w:sz="8" w:space="0" w:color="960443" w:themeColor="accent2"/>
          <w:insideV w:val="single" w:sz="8" w:space="0" w:color="960443" w:themeColor="accent2"/>
        </w:tcBorders>
        <w:shd w:val="clear" w:color="auto" w:fill="FCA9CD" w:themeFill="accent2" w:themeFillTint="3F"/>
      </w:tcPr>
    </w:tblStylePr>
    <w:tblStylePr w:type="band2Horz">
      <w:tblPr/>
      <w:tcPr>
        <w:tcBorders>
          <w:top w:val="single" w:sz="8" w:space="0" w:color="960443" w:themeColor="accent2"/>
          <w:left w:val="single" w:sz="8" w:space="0" w:color="960443" w:themeColor="accent2"/>
          <w:bottom w:val="single" w:sz="8" w:space="0" w:color="960443" w:themeColor="accent2"/>
          <w:right w:val="single" w:sz="8" w:space="0" w:color="960443" w:themeColor="accent2"/>
          <w:insideV w:val="single" w:sz="8" w:space="0" w:color="960443" w:themeColor="accent2"/>
        </w:tcBorders>
      </w:tcPr>
    </w:tblStylePr>
  </w:style>
  <w:style w:type="table" w:styleId="LightGrid-Accent3">
    <w:name w:val="Light Grid Accent 3"/>
    <w:basedOn w:val="TableNormal"/>
    <w:uiPriority w:val="62"/>
    <w:pPr>
      <w:spacing w:after="0"/>
    </w:pPr>
    <w:tblPr>
      <w:tblStyleRowBandSize w:val="1"/>
      <w:tblStyleColBandSize w:val="1"/>
      <w:tblBorders>
        <w:top w:val="single" w:sz="8" w:space="0" w:color="AB054C" w:themeColor="accent3"/>
        <w:left w:val="single" w:sz="8" w:space="0" w:color="AB054C" w:themeColor="accent3"/>
        <w:bottom w:val="single" w:sz="8" w:space="0" w:color="AB054C" w:themeColor="accent3"/>
        <w:right w:val="single" w:sz="8" w:space="0" w:color="AB054C" w:themeColor="accent3"/>
        <w:insideH w:val="single" w:sz="8" w:space="0" w:color="AB054C" w:themeColor="accent3"/>
        <w:insideV w:val="single" w:sz="8" w:space="0" w:color="AB054C"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B054C" w:themeColor="accent3"/>
          <w:left w:val="single" w:sz="8" w:space="0" w:color="AB054C" w:themeColor="accent3"/>
          <w:bottom w:val="single" w:sz="18" w:space="0" w:color="AB054C" w:themeColor="accent3"/>
          <w:right w:val="single" w:sz="8" w:space="0" w:color="AB054C" w:themeColor="accent3"/>
          <w:insideH w:val="nil"/>
          <w:insideV w:val="single" w:sz="8" w:space="0" w:color="AB054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B054C" w:themeColor="accent3"/>
          <w:left w:val="single" w:sz="8" w:space="0" w:color="AB054C" w:themeColor="accent3"/>
          <w:bottom w:val="single" w:sz="8" w:space="0" w:color="AB054C" w:themeColor="accent3"/>
          <w:right w:val="single" w:sz="8" w:space="0" w:color="AB054C" w:themeColor="accent3"/>
          <w:insideH w:val="nil"/>
          <w:insideV w:val="single" w:sz="8" w:space="0" w:color="AB054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B054C" w:themeColor="accent3"/>
          <w:left w:val="single" w:sz="8" w:space="0" w:color="AB054C" w:themeColor="accent3"/>
          <w:bottom w:val="single" w:sz="8" w:space="0" w:color="AB054C" w:themeColor="accent3"/>
          <w:right w:val="single" w:sz="8" w:space="0" w:color="AB054C" w:themeColor="accent3"/>
        </w:tcBorders>
      </w:tcPr>
    </w:tblStylePr>
    <w:tblStylePr w:type="band1Vert">
      <w:tblPr/>
      <w:tcPr>
        <w:tcBorders>
          <w:top w:val="single" w:sz="8" w:space="0" w:color="AB054C" w:themeColor="accent3"/>
          <w:left w:val="single" w:sz="8" w:space="0" w:color="AB054C" w:themeColor="accent3"/>
          <w:bottom w:val="single" w:sz="8" w:space="0" w:color="AB054C" w:themeColor="accent3"/>
          <w:right w:val="single" w:sz="8" w:space="0" w:color="AB054C" w:themeColor="accent3"/>
        </w:tcBorders>
        <w:shd w:val="clear" w:color="auto" w:fill="FCAED0" w:themeFill="accent3" w:themeFillTint="3F"/>
      </w:tcPr>
    </w:tblStylePr>
    <w:tblStylePr w:type="band1Horz">
      <w:tblPr/>
      <w:tcPr>
        <w:tcBorders>
          <w:top w:val="single" w:sz="8" w:space="0" w:color="AB054C" w:themeColor="accent3"/>
          <w:left w:val="single" w:sz="8" w:space="0" w:color="AB054C" w:themeColor="accent3"/>
          <w:bottom w:val="single" w:sz="8" w:space="0" w:color="AB054C" w:themeColor="accent3"/>
          <w:right w:val="single" w:sz="8" w:space="0" w:color="AB054C" w:themeColor="accent3"/>
          <w:insideV w:val="single" w:sz="8" w:space="0" w:color="AB054C" w:themeColor="accent3"/>
        </w:tcBorders>
        <w:shd w:val="clear" w:color="auto" w:fill="FCAED0" w:themeFill="accent3" w:themeFillTint="3F"/>
      </w:tcPr>
    </w:tblStylePr>
    <w:tblStylePr w:type="band2Horz">
      <w:tblPr/>
      <w:tcPr>
        <w:tcBorders>
          <w:top w:val="single" w:sz="8" w:space="0" w:color="AB054C" w:themeColor="accent3"/>
          <w:left w:val="single" w:sz="8" w:space="0" w:color="AB054C" w:themeColor="accent3"/>
          <w:bottom w:val="single" w:sz="8" w:space="0" w:color="AB054C" w:themeColor="accent3"/>
          <w:right w:val="single" w:sz="8" w:space="0" w:color="AB054C" w:themeColor="accent3"/>
          <w:insideV w:val="single" w:sz="8" w:space="0" w:color="AB054C" w:themeColor="accent3"/>
        </w:tcBorders>
      </w:tcPr>
    </w:tblStylePr>
  </w:style>
  <w:style w:type="table" w:styleId="LightGrid-Accent4">
    <w:name w:val="Light Grid Accent 4"/>
    <w:basedOn w:val="TableNormal"/>
    <w:uiPriority w:val="62"/>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18" w:space="0" w:color="FFE7E7" w:themeColor="accent4"/>
          <w:right w:val="single" w:sz="8" w:space="0" w:color="FFE7E7" w:themeColor="accent4"/>
          <w:insideH w:val="nil"/>
          <w:insideV w:val="single" w:sz="8" w:space="0" w:color="FFE7E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insideH w:val="nil"/>
          <w:insideV w:val="single" w:sz="8" w:space="0" w:color="FFE7E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shd w:val="clear" w:color="auto" w:fill="FFF9F9" w:themeFill="accent4" w:themeFillTint="3F"/>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shd w:val="clear" w:color="auto" w:fill="FFF9F9" w:themeFill="accent4" w:themeFillTint="3F"/>
      </w:tcPr>
    </w:tblStylePr>
    <w:tblStylePr w:type="band2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tcPr>
    </w:tblStylePr>
  </w:style>
  <w:style w:type="table" w:styleId="LightGrid-Accent5">
    <w:name w:val="Light Grid Accent 5"/>
    <w:basedOn w:val="TableNormal"/>
    <w:uiPriority w:val="62"/>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18" w:space="0" w:color="FEDADD" w:themeColor="accent5"/>
          <w:right w:val="single" w:sz="8" w:space="0" w:color="FEDADD" w:themeColor="accent5"/>
          <w:insideH w:val="nil"/>
          <w:insideV w:val="single" w:sz="8" w:space="0" w:color="FEDA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insideH w:val="nil"/>
          <w:insideV w:val="single" w:sz="8" w:space="0" w:color="FEDA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shd w:val="clear" w:color="auto" w:fill="FEF5F6" w:themeFill="accent5" w:themeFillTint="3F"/>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shd w:val="clear" w:color="auto" w:fill="FEF5F6" w:themeFill="accent5" w:themeFillTint="3F"/>
      </w:tcPr>
    </w:tblStylePr>
    <w:tblStylePr w:type="band2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tcPr>
    </w:tblStylePr>
  </w:style>
  <w:style w:type="table" w:styleId="LightGrid-Accent6">
    <w:name w:val="Light Grid Accent 6"/>
    <w:basedOn w:val="TableNormal"/>
    <w:uiPriority w:val="62"/>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18" w:space="0" w:color="700015" w:themeColor="accent6"/>
          <w:right w:val="single" w:sz="8" w:space="0" w:color="700015" w:themeColor="accent6"/>
          <w:insideH w:val="nil"/>
          <w:insideV w:val="single" w:sz="8" w:space="0" w:color="70001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insideH w:val="nil"/>
          <w:insideV w:val="single" w:sz="8" w:space="0" w:color="70001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shd w:val="clear" w:color="auto" w:fill="FF9CAE" w:themeFill="accent6" w:themeFillTint="3F"/>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shd w:val="clear" w:color="auto" w:fill="FF9CAE" w:themeFill="accent6" w:themeFillTint="3F"/>
      </w:tcPr>
    </w:tblStylePr>
    <w:tblStylePr w:type="band2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tcPr>
    </w:tblStylePr>
  </w:style>
  <w:style w:type="table" w:styleId="LightList">
    <w:name w:val="Light List"/>
    <w:basedOn w:val="TableNormal"/>
    <w:uiPriority w:val="61"/>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pPr>
        <w:spacing w:before="0" w:after="0" w:line="240" w:lineRule="auto"/>
      </w:pPr>
      <w:rPr>
        <w:b/>
        <w:bCs/>
        <w:color w:val="FFFFFF" w:themeColor="background1"/>
      </w:rPr>
      <w:tblPr/>
      <w:tcPr>
        <w:shd w:val="clear" w:color="auto" w:fill="FFFFFF" w:themeFill="text1"/>
      </w:tcPr>
    </w:tblStylePr>
    <w:tblStylePr w:type="lastRow">
      <w:pPr>
        <w:spacing w:before="0" w:after="0" w:line="240" w:lineRule="auto"/>
      </w:pPr>
      <w:rPr>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tcBorders>
      </w:tcPr>
    </w:tblStylePr>
    <w:tblStylePr w:type="firstCol">
      <w:rPr>
        <w:b/>
        <w:bCs/>
      </w:rPr>
    </w:tblStylePr>
    <w:tblStylePr w:type="lastCol">
      <w:rPr>
        <w:b/>
        <w:bCs/>
      </w:r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style>
  <w:style w:type="table" w:styleId="LightList-Accent1">
    <w:name w:val="Light List Accent 1"/>
    <w:basedOn w:val="TableNormal"/>
    <w:uiPriority w:val="61"/>
    <w:pPr>
      <w:spacing w:after="0"/>
    </w:pPr>
    <w:tblPr>
      <w:tblStyleRowBandSize w:val="1"/>
      <w:tblStyleColBandSize w:val="1"/>
      <w:tblBorders>
        <w:top w:val="single" w:sz="8" w:space="0" w:color="8A002E" w:themeColor="accent1"/>
        <w:left w:val="single" w:sz="8" w:space="0" w:color="8A002E" w:themeColor="accent1"/>
        <w:bottom w:val="single" w:sz="8" w:space="0" w:color="8A002E" w:themeColor="accent1"/>
        <w:right w:val="single" w:sz="8" w:space="0" w:color="8A002E" w:themeColor="accent1"/>
      </w:tblBorders>
    </w:tblPr>
    <w:tblStylePr w:type="firstRow">
      <w:pPr>
        <w:spacing w:before="0" w:after="0" w:line="240" w:lineRule="auto"/>
      </w:pPr>
      <w:rPr>
        <w:b/>
        <w:bCs/>
        <w:color w:val="FFFFFF" w:themeColor="background1"/>
      </w:rPr>
      <w:tblPr/>
      <w:tcPr>
        <w:shd w:val="clear" w:color="auto" w:fill="8A002E" w:themeFill="accent1"/>
      </w:tcPr>
    </w:tblStylePr>
    <w:tblStylePr w:type="lastRow">
      <w:pPr>
        <w:spacing w:before="0" w:after="0" w:line="240" w:lineRule="auto"/>
      </w:pPr>
      <w:rPr>
        <w:b/>
        <w:bCs/>
      </w:rPr>
      <w:tblPr/>
      <w:tcPr>
        <w:tcBorders>
          <w:top w:val="double" w:sz="6" w:space="0" w:color="8A002E" w:themeColor="accent1"/>
          <w:left w:val="single" w:sz="8" w:space="0" w:color="8A002E" w:themeColor="accent1"/>
          <w:bottom w:val="single" w:sz="8" w:space="0" w:color="8A002E" w:themeColor="accent1"/>
          <w:right w:val="single" w:sz="8" w:space="0" w:color="8A002E" w:themeColor="accent1"/>
        </w:tcBorders>
      </w:tcPr>
    </w:tblStylePr>
    <w:tblStylePr w:type="firstCol">
      <w:rPr>
        <w:b/>
        <w:bCs/>
      </w:rPr>
    </w:tblStylePr>
    <w:tblStylePr w:type="lastCol">
      <w:rPr>
        <w:b/>
        <w:bCs/>
      </w:rPr>
    </w:tblStylePr>
    <w:tblStylePr w:type="band1Vert">
      <w:tblPr/>
      <w:tcPr>
        <w:tcBorders>
          <w:top w:val="single" w:sz="8" w:space="0" w:color="8A002E" w:themeColor="accent1"/>
          <w:left w:val="single" w:sz="8" w:space="0" w:color="8A002E" w:themeColor="accent1"/>
          <w:bottom w:val="single" w:sz="8" w:space="0" w:color="8A002E" w:themeColor="accent1"/>
          <w:right w:val="single" w:sz="8" w:space="0" w:color="8A002E" w:themeColor="accent1"/>
        </w:tcBorders>
      </w:tcPr>
    </w:tblStylePr>
    <w:tblStylePr w:type="band1Horz">
      <w:tblPr/>
      <w:tcPr>
        <w:tcBorders>
          <w:top w:val="single" w:sz="8" w:space="0" w:color="8A002E" w:themeColor="accent1"/>
          <w:left w:val="single" w:sz="8" w:space="0" w:color="8A002E" w:themeColor="accent1"/>
          <w:bottom w:val="single" w:sz="8" w:space="0" w:color="8A002E" w:themeColor="accent1"/>
          <w:right w:val="single" w:sz="8" w:space="0" w:color="8A002E" w:themeColor="accent1"/>
        </w:tcBorders>
      </w:tcPr>
    </w:tblStylePr>
  </w:style>
  <w:style w:type="table" w:styleId="LightList-Accent2">
    <w:name w:val="Light List Accent 2"/>
    <w:basedOn w:val="TableNormal"/>
    <w:uiPriority w:val="61"/>
    <w:pPr>
      <w:spacing w:after="0"/>
    </w:pPr>
    <w:tblPr>
      <w:tblStyleRowBandSize w:val="1"/>
      <w:tblStyleColBandSize w:val="1"/>
      <w:tblBorders>
        <w:top w:val="single" w:sz="8" w:space="0" w:color="960443" w:themeColor="accent2"/>
        <w:left w:val="single" w:sz="8" w:space="0" w:color="960443" w:themeColor="accent2"/>
        <w:bottom w:val="single" w:sz="8" w:space="0" w:color="960443" w:themeColor="accent2"/>
        <w:right w:val="single" w:sz="8" w:space="0" w:color="960443" w:themeColor="accent2"/>
      </w:tblBorders>
    </w:tblPr>
    <w:tblStylePr w:type="firstRow">
      <w:pPr>
        <w:spacing w:before="0" w:after="0" w:line="240" w:lineRule="auto"/>
      </w:pPr>
      <w:rPr>
        <w:b/>
        <w:bCs/>
        <w:color w:val="FFFFFF" w:themeColor="background1"/>
      </w:rPr>
      <w:tblPr/>
      <w:tcPr>
        <w:shd w:val="clear" w:color="auto" w:fill="960443" w:themeFill="accent2"/>
      </w:tcPr>
    </w:tblStylePr>
    <w:tblStylePr w:type="lastRow">
      <w:pPr>
        <w:spacing w:before="0" w:after="0" w:line="240" w:lineRule="auto"/>
      </w:pPr>
      <w:rPr>
        <w:b/>
        <w:bCs/>
      </w:rPr>
      <w:tblPr/>
      <w:tcPr>
        <w:tcBorders>
          <w:top w:val="double" w:sz="6" w:space="0" w:color="960443" w:themeColor="accent2"/>
          <w:left w:val="single" w:sz="8" w:space="0" w:color="960443" w:themeColor="accent2"/>
          <w:bottom w:val="single" w:sz="8" w:space="0" w:color="960443" w:themeColor="accent2"/>
          <w:right w:val="single" w:sz="8" w:space="0" w:color="960443" w:themeColor="accent2"/>
        </w:tcBorders>
      </w:tcPr>
    </w:tblStylePr>
    <w:tblStylePr w:type="firstCol">
      <w:rPr>
        <w:b/>
        <w:bCs/>
      </w:rPr>
    </w:tblStylePr>
    <w:tblStylePr w:type="lastCol">
      <w:rPr>
        <w:b/>
        <w:bCs/>
      </w:rPr>
    </w:tblStylePr>
    <w:tblStylePr w:type="band1Vert">
      <w:tblPr/>
      <w:tcPr>
        <w:tcBorders>
          <w:top w:val="single" w:sz="8" w:space="0" w:color="960443" w:themeColor="accent2"/>
          <w:left w:val="single" w:sz="8" w:space="0" w:color="960443" w:themeColor="accent2"/>
          <w:bottom w:val="single" w:sz="8" w:space="0" w:color="960443" w:themeColor="accent2"/>
          <w:right w:val="single" w:sz="8" w:space="0" w:color="960443" w:themeColor="accent2"/>
        </w:tcBorders>
      </w:tcPr>
    </w:tblStylePr>
    <w:tblStylePr w:type="band1Horz">
      <w:tblPr/>
      <w:tcPr>
        <w:tcBorders>
          <w:top w:val="single" w:sz="8" w:space="0" w:color="960443" w:themeColor="accent2"/>
          <w:left w:val="single" w:sz="8" w:space="0" w:color="960443" w:themeColor="accent2"/>
          <w:bottom w:val="single" w:sz="8" w:space="0" w:color="960443" w:themeColor="accent2"/>
          <w:right w:val="single" w:sz="8" w:space="0" w:color="960443" w:themeColor="accent2"/>
        </w:tcBorders>
      </w:tcPr>
    </w:tblStylePr>
  </w:style>
  <w:style w:type="table" w:styleId="LightList-Accent3">
    <w:name w:val="Light List Accent 3"/>
    <w:basedOn w:val="TableNormal"/>
    <w:uiPriority w:val="61"/>
    <w:pPr>
      <w:spacing w:after="0"/>
    </w:pPr>
    <w:tblPr>
      <w:tblStyleRowBandSize w:val="1"/>
      <w:tblStyleColBandSize w:val="1"/>
      <w:tblBorders>
        <w:top w:val="single" w:sz="8" w:space="0" w:color="AB054C" w:themeColor="accent3"/>
        <w:left w:val="single" w:sz="8" w:space="0" w:color="AB054C" w:themeColor="accent3"/>
        <w:bottom w:val="single" w:sz="8" w:space="0" w:color="AB054C" w:themeColor="accent3"/>
        <w:right w:val="single" w:sz="8" w:space="0" w:color="AB054C" w:themeColor="accent3"/>
      </w:tblBorders>
    </w:tblPr>
    <w:tblStylePr w:type="firstRow">
      <w:pPr>
        <w:spacing w:before="0" w:after="0" w:line="240" w:lineRule="auto"/>
      </w:pPr>
      <w:rPr>
        <w:b/>
        <w:bCs/>
        <w:color w:val="FFFFFF" w:themeColor="background1"/>
      </w:rPr>
      <w:tblPr/>
      <w:tcPr>
        <w:shd w:val="clear" w:color="auto" w:fill="AB054C" w:themeFill="accent3"/>
      </w:tcPr>
    </w:tblStylePr>
    <w:tblStylePr w:type="lastRow">
      <w:pPr>
        <w:spacing w:before="0" w:after="0" w:line="240" w:lineRule="auto"/>
      </w:pPr>
      <w:rPr>
        <w:b/>
        <w:bCs/>
      </w:rPr>
      <w:tblPr/>
      <w:tcPr>
        <w:tcBorders>
          <w:top w:val="double" w:sz="6" w:space="0" w:color="AB054C" w:themeColor="accent3"/>
          <w:left w:val="single" w:sz="8" w:space="0" w:color="AB054C" w:themeColor="accent3"/>
          <w:bottom w:val="single" w:sz="8" w:space="0" w:color="AB054C" w:themeColor="accent3"/>
          <w:right w:val="single" w:sz="8" w:space="0" w:color="AB054C" w:themeColor="accent3"/>
        </w:tcBorders>
      </w:tcPr>
    </w:tblStylePr>
    <w:tblStylePr w:type="firstCol">
      <w:rPr>
        <w:b/>
        <w:bCs/>
      </w:rPr>
    </w:tblStylePr>
    <w:tblStylePr w:type="lastCol">
      <w:rPr>
        <w:b/>
        <w:bCs/>
      </w:rPr>
    </w:tblStylePr>
    <w:tblStylePr w:type="band1Vert">
      <w:tblPr/>
      <w:tcPr>
        <w:tcBorders>
          <w:top w:val="single" w:sz="8" w:space="0" w:color="AB054C" w:themeColor="accent3"/>
          <w:left w:val="single" w:sz="8" w:space="0" w:color="AB054C" w:themeColor="accent3"/>
          <w:bottom w:val="single" w:sz="8" w:space="0" w:color="AB054C" w:themeColor="accent3"/>
          <w:right w:val="single" w:sz="8" w:space="0" w:color="AB054C" w:themeColor="accent3"/>
        </w:tcBorders>
      </w:tcPr>
    </w:tblStylePr>
    <w:tblStylePr w:type="band1Horz">
      <w:tblPr/>
      <w:tcPr>
        <w:tcBorders>
          <w:top w:val="single" w:sz="8" w:space="0" w:color="AB054C" w:themeColor="accent3"/>
          <w:left w:val="single" w:sz="8" w:space="0" w:color="AB054C" w:themeColor="accent3"/>
          <w:bottom w:val="single" w:sz="8" w:space="0" w:color="AB054C" w:themeColor="accent3"/>
          <w:right w:val="single" w:sz="8" w:space="0" w:color="AB054C" w:themeColor="accent3"/>
        </w:tcBorders>
      </w:tcPr>
    </w:tblStylePr>
  </w:style>
  <w:style w:type="table" w:styleId="LightList-Accent4">
    <w:name w:val="Light List Accent 4"/>
    <w:basedOn w:val="TableNormal"/>
    <w:uiPriority w:val="61"/>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pPr>
        <w:spacing w:before="0" w:after="0" w:line="240" w:lineRule="auto"/>
      </w:pPr>
      <w:rPr>
        <w:b/>
        <w:bCs/>
        <w:color w:val="FFFFFF" w:themeColor="background1"/>
      </w:rPr>
      <w:tblPr/>
      <w:tcPr>
        <w:shd w:val="clear" w:color="auto" w:fill="FFE7E7" w:themeFill="accent4"/>
      </w:tcPr>
    </w:tblStylePr>
    <w:tblStylePr w:type="lastRow">
      <w:pPr>
        <w:spacing w:before="0" w:after="0" w:line="240" w:lineRule="auto"/>
      </w:pPr>
      <w:rPr>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tcBorders>
      </w:tcPr>
    </w:tblStylePr>
    <w:tblStylePr w:type="firstCol">
      <w:rPr>
        <w:b/>
        <w:bCs/>
      </w:rPr>
    </w:tblStylePr>
    <w:tblStylePr w:type="lastCol">
      <w:rPr>
        <w:b/>
        <w:bCs/>
      </w:r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style>
  <w:style w:type="table" w:styleId="LightList-Accent5">
    <w:name w:val="Light List Accent 5"/>
    <w:basedOn w:val="TableNormal"/>
    <w:uiPriority w:val="61"/>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pPr>
        <w:spacing w:before="0" w:after="0" w:line="240" w:lineRule="auto"/>
      </w:pPr>
      <w:rPr>
        <w:b/>
        <w:bCs/>
        <w:color w:val="FFFFFF" w:themeColor="background1"/>
      </w:rPr>
      <w:tblPr/>
      <w:tcPr>
        <w:shd w:val="clear" w:color="auto" w:fill="FEDADD" w:themeFill="accent5"/>
      </w:tcPr>
    </w:tblStylePr>
    <w:tblStylePr w:type="lastRow">
      <w:pPr>
        <w:spacing w:before="0" w:after="0" w:line="240" w:lineRule="auto"/>
      </w:pPr>
      <w:rPr>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tcBorders>
      </w:tcPr>
    </w:tblStylePr>
    <w:tblStylePr w:type="firstCol">
      <w:rPr>
        <w:b/>
        <w:bCs/>
      </w:rPr>
    </w:tblStylePr>
    <w:tblStylePr w:type="lastCol">
      <w:rPr>
        <w:b/>
        <w:bCs/>
      </w:r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style>
  <w:style w:type="table" w:styleId="LightList-Accent6">
    <w:name w:val="Light List Accent 6"/>
    <w:basedOn w:val="TableNormal"/>
    <w:uiPriority w:val="61"/>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pPr>
        <w:spacing w:before="0" w:after="0" w:line="240" w:lineRule="auto"/>
      </w:pPr>
      <w:rPr>
        <w:b/>
        <w:bCs/>
        <w:color w:val="FFFFFF" w:themeColor="background1"/>
      </w:rPr>
      <w:tblPr/>
      <w:tcPr>
        <w:shd w:val="clear" w:color="auto" w:fill="700015" w:themeFill="accent6"/>
      </w:tcPr>
    </w:tblStylePr>
    <w:tblStylePr w:type="lastRow">
      <w:pPr>
        <w:spacing w:before="0" w:after="0" w:line="240" w:lineRule="auto"/>
      </w:pPr>
      <w:rPr>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tcBorders>
      </w:tcPr>
    </w:tblStylePr>
    <w:tblStylePr w:type="firstCol">
      <w:rPr>
        <w:b/>
        <w:bCs/>
      </w:rPr>
    </w:tblStylePr>
    <w:tblStylePr w:type="lastCol">
      <w:rPr>
        <w:b/>
        <w:bCs/>
      </w:r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style>
  <w:style w:type="table" w:styleId="LightShading">
    <w:name w:val="Light Shading"/>
    <w:basedOn w:val="TableNormal"/>
    <w:uiPriority w:val="60"/>
    <w:pPr>
      <w:spacing w:after="0"/>
    </w:pPr>
    <w:rPr>
      <w:color w:val="BFBFBF" w:themeColor="text1" w:themeShade="BF"/>
    </w:rPr>
    <w:tblPr>
      <w:tblStyleRowBandSize w:val="1"/>
      <w:tblStyleColBandSize w:val="1"/>
      <w:tblBorders>
        <w:top w:val="single" w:sz="8" w:space="0" w:color="FFFFFF" w:themeColor="text1"/>
        <w:bottom w:val="single" w:sz="8" w:space="0" w:color="FFFFFF" w:themeColor="text1"/>
      </w:tblBorders>
    </w:tblPr>
    <w:tblStylePr w:type="fir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la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left w:val="nil"/>
          <w:right w:val="nil"/>
          <w:insideH w:val="nil"/>
          <w:insideV w:val="nil"/>
        </w:tcBorders>
        <w:shd w:val="clear" w:color="auto" w:fill="FFFFFF" w:themeFill="text1" w:themeFillTint="3F"/>
      </w:tcPr>
    </w:tblStylePr>
  </w:style>
  <w:style w:type="table" w:styleId="LightShading-Accent1">
    <w:name w:val="Light Shading Accent 1"/>
    <w:basedOn w:val="TableNormal"/>
    <w:uiPriority w:val="60"/>
    <w:pPr>
      <w:spacing w:after="0"/>
    </w:pPr>
    <w:rPr>
      <w:color w:val="670022" w:themeColor="accent1" w:themeShade="BF"/>
    </w:rPr>
    <w:tblPr>
      <w:tblStyleRowBandSize w:val="1"/>
      <w:tblStyleColBandSize w:val="1"/>
      <w:tblBorders>
        <w:top w:val="single" w:sz="8" w:space="0" w:color="8A002E" w:themeColor="accent1"/>
        <w:bottom w:val="single" w:sz="8" w:space="0" w:color="8A002E" w:themeColor="accent1"/>
      </w:tblBorders>
    </w:tblPr>
    <w:tblStylePr w:type="firstRow">
      <w:pPr>
        <w:spacing w:before="0" w:after="0" w:line="240" w:lineRule="auto"/>
      </w:pPr>
      <w:rPr>
        <w:b/>
        <w:bCs/>
      </w:rPr>
      <w:tblPr/>
      <w:tcPr>
        <w:tcBorders>
          <w:top w:val="single" w:sz="8" w:space="0" w:color="8A002E" w:themeColor="accent1"/>
          <w:left w:val="nil"/>
          <w:bottom w:val="single" w:sz="8" w:space="0" w:color="8A002E" w:themeColor="accent1"/>
          <w:right w:val="nil"/>
          <w:insideH w:val="nil"/>
          <w:insideV w:val="nil"/>
        </w:tcBorders>
      </w:tcPr>
    </w:tblStylePr>
    <w:tblStylePr w:type="lastRow">
      <w:pPr>
        <w:spacing w:before="0" w:after="0" w:line="240" w:lineRule="auto"/>
      </w:pPr>
      <w:rPr>
        <w:b/>
        <w:bCs/>
      </w:rPr>
      <w:tblPr/>
      <w:tcPr>
        <w:tcBorders>
          <w:top w:val="single" w:sz="8" w:space="0" w:color="8A002E" w:themeColor="accent1"/>
          <w:left w:val="nil"/>
          <w:bottom w:val="single" w:sz="8" w:space="0" w:color="8A002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3C1" w:themeFill="accent1" w:themeFillTint="3F"/>
      </w:tcPr>
    </w:tblStylePr>
    <w:tblStylePr w:type="band1Horz">
      <w:tblPr/>
      <w:tcPr>
        <w:tcBorders>
          <w:left w:val="nil"/>
          <w:right w:val="nil"/>
          <w:insideH w:val="nil"/>
          <w:insideV w:val="nil"/>
        </w:tcBorders>
        <w:shd w:val="clear" w:color="auto" w:fill="FFA3C1" w:themeFill="accent1" w:themeFillTint="3F"/>
      </w:tcPr>
    </w:tblStylePr>
  </w:style>
  <w:style w:type="table" w:styleId="LightShading-Accent2">
    <w:name w:val="Light Shading Accent 2"/>
    <w:basedOn w:val="TableNormal"/>
    <w:uiPriority w:val="60"/>
    <w:pPr>
      <w:spacing w:after="0"/>
    </w:pPr>
    <w:rPr>
      <w:color w:val="700332" w:themeColor="accent2" w:themeShade="BF"/>
    </w:rPr>
    <w:tblPr>
      <w:tblStyleRowBandSize w:val="1"/>
      <w:tblStyleColBandSize w:val="1"/>
      <w:tblBorders>
        <w:top w:val="single" w:sz="8" w:space="0" w:color="960443" w:themeColor="accent2"/>
        <w:bottom w:val="single" w:sz="8" w:space="0" w:color="960443" w:themeColor="accent2"/>
      </w:tblBorders>
    </w:tblPr>
    <w:tblStylePr w:type="firstRow">
      <w:pPr>
        <w:spacing w:before="0" w:after="0" w:line="240" w:lineRule="auto"/>
      </w:pPr>
      <w:rPr>
        <w:b/>
        <w:bCs/>
      </w:rPr>
      <w:tblPr/>
      <w:tcPr>
        <w:tcBorders>
          <w:top w:val="single" w:sz="8" w:space="0" w:color="960443" w:themeColor="accent2"/>
          <w:left w:val="nil"/>
          <w:bottom w:val="single" w:sz="8" w:space="0" w:color="960443" w:themeColor="accent2"/>
          <w:right w:val="nil"/>
          <w:insideH w:val="nil"/>
          <w:insideV w:val="nil"/>
        </w:tcBorders>
      </w:tcPr>
    </w:tblStylePr>
    <w:tblStylePr w:type="lastRow">
      <w:pPr>
        <w:spacing w:before="0" w:after="0" w:line="240" w:lineRule="auto"/>
      </w:pPr>
      <w:rPr>
        <w:b/>
        <w:bCs/>
      </w:rPr>
      <w:tblPr/>
      <w:tcPr>
        <w:tcBorders>
          <w:top w:val="single" w:sz="8" w:space="0" w:color="960443" w:themeColor="accent2"/>
          <w:left w:val="nil"/>
          <w:bottom w:val="single" w:sz="8" w:space="0" w:color="96044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A9CD" w:themeFill="accent2" w:themeFillTint="3F"/>
      </w:tcPr>
    </w:tblStylePr>
    <w:tblStylePr w:type="band1Horz">
      <w:tblPr/>
      <w:tcPr>
        <w:tcBorders>
          <w:left w:val="nil"/>
          <w:right w:val="nil"/>
          <w:insideH w:val="nil"/>
          <w:insideV w:val="nil"/>
        </w:tcBorders>
        <w:shd w:val="clear" w:color="auto" w:fill="FCA9CD" w:themeFill="accent2" w:themeFillTint="3F"/>
      </w:tcPr>
    </w:tblStylePr>
  </w:style>
  <w:style w:type="table" w:styleId="LightShading-Accent3">
    <w:name w:val="Light Shading Accent 3"/>
    <w:basedOn w:val="TableNormal"/>
    <w:uiPriority w:val="60"/>
    <w:pPr>
      <w:spacing w:after="0"/>
    </w:pPr>
    <w:rPr>
      <w:color w:val="7F0338" w:themeColor="accent3" w:themeShade="BF"/>
    </w:rPr>
    <w:tblPr>
      <w:tblStyleRowBandSize w:val="1"/>
      <w:tblStyleColBandSize w:val="1"/>
      <w:tblBorders>
        <w:top w:val="single" w:sz="8" w:space="0" w:color="AB054C" w:themeColor="accent3"/>
        <w:bottom w:val="single" w:sz="8" w:space="0" w:color="AB054C" w:themeColor="accent3"/>
      </w:tblBorders>
    </w:tblPr>
    <w:tblStylePr w:type="firstRow">
      <w:pPr>
        <w:spacing w:before="0" w:after="0" w:line="240" w:lineRule="auto"/>
      </w:pPr>
      <w:rPr>
        <w:b/>
        <w:bCs/>
      </w:rPr>
      <w:tblPr/>
      <w:tcPr>
        <w:tcBorders>
          <w:top w:val="single" w:sz="8" w:space="0" w:color="AB054C" w:themeColor="accent3"/>
          <w:left w:val="nil"/>
          <w:bottom w:val="single" w:sz="8" w:space="0" w:color="AB054C" w:themeColor="accent3"/>
          <w:right w:val="nil"/>
          <w:insideH w:val="nil"/>
          <w:insideV w:val="nil"/>
        </w:tcBorders>
      </w:tcPr>
    </w:tblStylePr>
    <w:tblStylePr w:type="lastRow">
      <w:pPr>
        <w:spacing w:before="0" w:after="0" w:line="240" w:lineRule="auto"/>
      </w:pPr>
      <w:rPr>
        <w:b/>
        <w:bCs/>
      </w:rPr>
      <w:tblPr/>
      <w:tcPr>
        <w:tcBorders>
          <w:top w:val="single" w:sz="8" w:space="0" w:color="AB054C" w:themeColor="accent3"/>
          <w:left w:val="nil"/>
          <w:bottom w:val="single" w:sz="8" w:space="0" w:color="AB054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AED0" w:themeFill="accent3" w:themeFillTint="3F"/>
      </w:tcPr>
    </w:tblStylePr>
    <w:tblStylePr w:type="band1Horz">
      <w:tblPr/>
      <w:tcPr>
        <w:tcBorders>
          <w:left w:val="nil"/>
          <w:right w:val="nil"/>
          <w:insideH w:val="nil"/>
          <w:insideV w:val="nil"/>
        </w:tcBorders>
        <w:shd w:val="clear" w:color="auto" w:fill="FCAED0" w:themeFill="accent3" w:themeFillTint="3F"/>
      </w:tcPr>
    </w:tblStylePr>
  </w:style>
  <w:style w:type="table" w:styleId="LightShading-Accent4">
    <w:name w:val="Light Shading Accent 4"/>
    <w:basedOn w:val="TableNormal"/>
    <w:uiPriority w:val="60"/>
    <w:pPr>
      <w:spacing w:after="0"/>
    </w:pPr>
    <w:rPr>
      <w:color w:val="FF6D6D" w:themeColor="accent4" w:themeShade="BF"/>
    </w:rPr>
    <w:tblPr>
      <w:tblStyleRowBandSize w:val="1"/>
      <w:tblStyleColBandSize w:val="1"/>
      <w:tblBorders>
        <w:top w:val="single" w:sz="8" w:space="0" w:color="FFE7E7" w:themeColor="accent4"/>
        <w:bottom w:val="single" w:sz="8" w:space="0" w:color="FFE7E7" w:themeColor="accent4"/>
      </w:tblBorders>
    </w:tblPr>
    <w:tblStylePr w:type="fir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la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left w:val="nil"/>
          <w:right w:val="nil"/>
          <w:insideH w:val="nil"/>
          <w:insideV w:val="nil"/>
        </w:tcBorders>
        <w:shd w:val="clear" w:color="auto" w:fill="FFF9F9" w:themeFill="accent4" w:themeFillTint="3F"/>
      </w:tcPr>
    </w:tblStylePr>
  </w:style>
  <w:style w:type="table" w:styleId="LightShading-Accent5">
    <w:name w:val="Light Shading Accent 5"/>
    <w:basedOn w:val="TableNormal"/>
    <w:uiPriority w:val="60"/>
    <w:pPr>
      <w:spacing w:after="0"/>
    </w:pPr>
    <w:rPr>
      <w:color w:val="FB6672" w:themeColor="accent5" w:themeShade="BF"/>
    </w:rPr>
    <w:tblPr>
      <w:tblStyleRowBandSize w:val="1"/>
      <w:tblStyleColBandSize w:val="1"/>
      <w:tblBorders>
        <w:top w:val="single" w:sz="8" w:space="0" w:color="FEDADD" w:themeColor="accent5"/>
        <w:bottom w:val="single" w:sz="8" w:space="0" w:color="FEDADD" w:themeColor="accent5"/>
      </w:tblBorders>
    </w:tblPr>
    <w:tblStylePr w:type="fir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la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left w:val="nil"/>
          <w:right w:val="nil"/>
          <w:insideH w:val="nil"/>
          <w:insideV w:val="nil"/>
        </w:tcBorders>
        <w:shd w:val="clear" w:color="auto" w:fill="FEF5F6" w:themeFill="accent5" w:themeFillTint="3F"/>
      </w:tcPr>
    </w:tblStylePr>
  </w:style>
  <w:style w:type="table" w:styleId="LightShading-Accent6">
    <w:name w:val="Light Shading Accent 6"/>
    <w:basedOn w:val="TableNormal"/>
    <w:uiPriority w:val="60"/>
    <w:pPr>
      <w:spacing w:after="0"/>
    </w:pPr>
    <w:rPr>
      <w:color w:val="53000F" w:themeColor="accent6" w:themeShade="BF"/>
    </w:rPr>
    <w:tblPr>
      <w:tblStyleRowBandSize w:val="1"/>
      <w:tblStyleColBandSize w:val="1"/>
      <w:tblBorders>
        <w:top w:val="single" w:sz="8" w:space="0" w:color="700015" w:themeColor="accent6"/>
        <w:bottom w:val="single" w:sz="8" w:space="0" w:color="700015" w:themeColor="accent6"/>
      </w:tblBorders>
    </w:tblPr>
    <w:tblStylePr w:type="fir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la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left w:val="nil"/>
          <w:right w:val="nil"/>
          <w:insideH w:val="nil"/>
          <w:insideV w:val="nil"/>
        </w:tcBorders>
        <w:shd w:val="clear" w:color="auto" w:fill="FF9CAE"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ind w:left="360"/>
      <w:contextualSpacing/>
    </w:pPr>
  </w:style>
  <w:style w:type="paragraph" w:styleId="ListContinue2">
    <w:name w:val="List Continue 2"/>
    <w:basedOn w:val="Normal"/>
    <w:uiPriority w:val="99"/>
    <w:semiHidden/>
    <w:unhideWhenUsed/>
    <w:pPr>
      <w:ind w:left="720"/>
      <w:contextualSpacing/>
    </w:pPr>
  </w:style>
  <w:style w:type="paragraph" w:styleId="ListContinue3">
    <w:name w:val="List Continue 3"/>
    <w:basedOn w:val="Normal"/>
    <w:uiPriority w:val="99"/>
    <w:semiHidden/>
    <w:unhideWhenUsed/>
    <w:pPr>
      <w:ind w:left="1080"/>
      <w:contextualSpacing/>
    </w:pPr>
  </w:style>
  <w:style w:type="paragraph" w:styleId="ListContinue4">
    <w:name w:val="List Continue 4"/>
    <w:basedOn w:val="Normal"/>
    <w:uiPriority w:val="99"/>
    <w:semiHidden/>
    <w:unhideWhenUsed/>
    <w:pPr>
      <w:ind w:left="1440"/>
      <w:contextualSpacing/>
    </w:pPr>
  </w:style>
  <w:style w:type="paragraph" w:styleId="ListContinue5">
    <w:name w:val="List Continue 5"/>
    <w:basedOn w:val="Normal"/>
    <w:uiPriority w:val="99"/>
    <w:semiHidden/>
    <w:unhideWhenUsed/>
    <w:pPr>
      <w:ind w:left="1800"/>
      <w:contextualSpacing/>
    </w:pPr>
  </w:style>
  <w:style w:type="paragraph" w:styleId="ListNumber">
    <w:name w:val="List Number"/>
    <w:basedOn w:val="Normal"/>
    <w:uiPriority w:val="1"/>
    <w:unhideWhenUsed/>
    <w:qFormat/>
    <w:pPr>
      <w:numPr>
        <w:numId w:val="7"/>
      </w:numPr>
      <w:contextualSpacing/>
    </w:pPr>
  </w:style>
  <w:style w:type="paragraph" w:styleId="ListNumber2">
    <w:name w:val="List Number 2"/>
    <w:basedOn w:val="Normal"/>
    <w:uiPriority w:val="1"/>
    <w:unhideWhenUsed/>
    <w:qFormat/>
    <w:pPr>
      <w:numPr>
        <w:ilvl w:val="1"/>
        <w:numId w:val="7"/>
      </w:numPr>
      <w:contextualSpacing/>
    </w:pPr>
  </w:style>
  <w:style w:type="paragraph" w:styleId="ListNumber3">
    <w:name w:val="List Number 3"/>
    <w:basedOn w:val="Normal"/>
    <w:uiPriority w:val="18"/>
    <w:unhideWhenUsed/>
    <w:qFormat/>
    <w:pPr>
      <w:numPr>
        <w:ilvl w:val="2"/>
        <w:numId w:val="7"/>
      </w:numPr>
      <w:contextualSpacing/>
    </w:pPr>
  </w:style>
  <w:style w:type="paragraph" w:styleId="ListNumber4">
    <w:name w:val="List Number 4"/>
    <w:basedOn w:val="Normal"/>
    <w:uiPriority w:val="18"/>
    <w:semiHidden/>
    <w:unhideWhenUsed/>
    <w:pPr>
      <w:numPr>
        <w:ilvl w:val="3"/>
        <w:numId w:val="7"/>
      </w:numPr>
      <w:contextualSpacing/>
    </w:pPr>
  </w:style>
  <w:style w:type="paragraph" w:styleId="ListNumber5">
    <w:name w:val="List Number 5"/>
    <w:basedOn w:val="Normal"/>
    <w:uiPriority w:val="18"/>
    <w:semiHidden/>
    <w:unhideWhenUsed/>
    <w:pPr>
      <w:numPr>
        <w:ilvl w:val="4"/>
        <w:numId w:val="7"/>
      </w:numPr>
      <w:contextualSpacing/>
    </w:pPr>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unhideWhenUsed/>
    <w:qFormat/>
    <w:rsid w:val="00EB6EB1"/>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insideV w:val="single" w:sz="8" w:space="0" w:color="FFFFFF" w:themeColor="text1" w:themeTint="BF"/>
      </w:tblBorders>
    </w:tblPr>
    <w:tcPr>
      <w:shd w:val="clear" w:color="auto" w:fill="FFFFFF" w:themeFill="text1" w:themeFillTint="3F"/>
    </w:tcPr>
    <w:tblStylePr w:type="firstRow">
      <w:rPr>
        <w:b/>
        <w:bCs/>
      </w:rPr>
    </w:tblStylePr>
    <w:tblStylePr w:type="lastRow">
      <w:rPr>
        <w:b/>
        <w:bCs/>
      </w:rPr>
      <w:tblPr/>
      <w:tcPr>
        <w:tcBorders>
          <w:top w:val="single" w:sz="18" w:space="0" w:color="FFFFFF" w:themeColor="text1" w:themeTint="BF"/>
        </w:tcBorders>
      </w:tcPr>
    </w:tblStylePr>
    <w:tblStylePr w:type="firstCol">
      <w:rPr>
        <w:b/>
        <w:bCs/>
      </w:rPr>
    </w:tblStylePr>
    <w:tblStylePr w:type="lastCol">
      <w:rPr>
        <w:b/>
        <w:bCs/>
      </w:r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MediumGrid1-Accent1">
    <w:name w:val="Medium Grid 1 Accent 1"/>
    <w:basedOn w:val="TableNormal"/>
    <w:uiPriority w:val="67"/>
    <w:pPr>
      <w:spacing w:after="0"/>
    </w:pPr>
    <w:tblPr>
      <w:tblStyleRowBandSize w:val="1"/>
      <w:tblStyleColBandSize w:val="1"/>
      <w:tblBorders>
        <w:top w:val="single" w:sz="8" w:space="0" w:color="E7004D" w:themeColor="accent1" w:themeTint="BF"/>
        <w:left w:val="single" w:sz="8" w:space="0" w:color="E7004D" w:themeColor="accent1" w:themeTint="BF"/>
        <w:bottom w:val="single" w:sz="8" w:space="0" w:color="E7004D" w:themeColor="accent1" w:themeTint="BF"/>
        <w:right w:val="single" w:sz="8" w:space="0" w:color="E7004D" w:themeColor="accent1" w:themeTint="BF"/>
        <w:insideH w:val="single" w:sz="8" w:space="0" w:color="E7004D" w:themeColor="accent1" w:themeTint="BF"/>
        <w:insideV w:val="single" w:sz="8" w:space="0" w:color="E7004D" w:themeColor="accent1" w:themeTint="BF"/>
      </w:tblBorders>
    </w:tblPr>
    <w:tcPr>
      <w:shd w:val="clear" w:color="auto" w:fill="FFA3C1" w:themeFill="accent1" w:themeFillTint="3F"/>
    </w:tcPr>
    <w:tblStylePr w:type="firstRow">
      <w:rPr>
        <w:b/>
        <w:bCs/>
      </w:rPr>
    </w:tblStylePr>
    <w:tblStylePr w:type="lastRow">
      <w:rPr>
        <w:b/>
        <w:bCs/>
      </w:rPr>
      <w:tblPr/>
      <w:tcPr>
        <w:tcBorders>
          <w:top w:val="single" w:sz="18" w:space="0" w:color="E7004D" w:themeColor="accent1" w:themeTint="BF"/>
        </w:tcBorders>
      </w:tcPr>
    </w:tblStylePr>
    <w:tblStylePr w:type="firstCol">
      <w:rPr>
        <w:b/>
        <w:bCs/>
      </w:rPr>
    </w:tblStylePr>
    <w:tblStylePr w:type="lastCol">
      <w:rPr>
        <w:b/>
        <w:bCs/>
      </w:rPr>
    </w:tblStylePr>
    <w:tblStylePr w:type="band1Vert">
      <w:tblPr/>
      <w:tcPr>
        <w:shd w:val="clear" w:color="auto" w:fill="FF4583" w:themeFill="accent1" w:themeFillTint="7F"/>
      </w:tcPr>
    </w:tblStylePr>
    <w:tblStylePr w:type="band1Horz">
      <w:tblPr/>
      <w:tcPr>
        <w:shd w:val="clear" w:color="auto" w:fill="FF4583" w:themeFill="accent1" w:themeFillTint="7F"/>
      </w:tcPr>
    </w:tblStylePr>
  </w:style>
  <w:style w:type="table" w:styleId="MediumGrid1-Accent2">
    <w:name w:val="Medium Grid 1 Accent 2"/>
    <w:basedOn w:val="TableNormal"/>
    <w:uiPriority w:val="67"/>
    <w:pPr>
      <w:spacing w:after="0"/>
    </w:pPr>
    <w:tblPr>
      <w:tblStyleRowBandSize w:val="1"/>
      <w:tblStyleColBandSize w:val="1"/>
      <w:tblBorders>
        <w:top w:val="single" w:sz="8" w:space="0" w:color="EC0669" w:themeColor="accent2" w:themeTint="BF"/>
        <w:left w:val="single" w:sz="8" w:space="0" w:color="EC0669" w:themeColor="accent2" w:themeTint="BF"/>
        <w:bottom w:val="single" w:sz="8" w:space="0" w:color="EC0669" w:themeColor="accent2" w:themeTint="BF"/>
        <w:right w:val="single" w:sz="8" w:space="0" w:color="EC0669" w:themeColor="accent2" w:themeTint="BF"/>
        <w:insideH w:val="single" w:sz="8" w:space="0" w:color="EC0669" w:themeColor="accent2" w:themeTint="BF"/>
        <w:insideV w:val="single" w:sz="8" w:space="0" w:color="EC0669" w:themeColor="accent2" w:themeTint="BF"/>
      </w:tblBorders>
    </w:tblPr>
    <w:tcPr>
      <w:shd w:val="clear" w:color="auto" w:fill="FCA9CD" w:themeFill="accent2" w:themeFillTint="3F"/>
    </w:tcPr>
    <w:tblStylePr w:type="firstRow">
      <w:rPr>
        <w:b/>
        <w:bCs/>
      </w:rPr>
    </w:tblStylePr>
    <w:tblStylePr w:type="lastRow">
      <w:rPr>
        <w:b/>
        <w:bCs/>
      </w:rPr>
      <w:tblPr/>
      <w:tcPr>
        <w:tcBorders>
          <w:top w:val="single" w:sz="18" w:space="0" w:color="EC0669" w:themeColor="accent2" w:themeTint="BF"/>
        </w:tcBorders>
      </w:tcPr>
    </w:tblStylePr>
    <w:tblStylePr w:type="firstCol">
      <w:rPr>
        <w:b/>
        <w:bCs/>
      </w:rPr>
    </w:tblStylePr>
    <w:tblStylePr w:type="lastCol">
      <w:rPr>
        <w:b/>
        <w:bCs/>
      </w:rPr>
    </w:tblStylePr>
    <w:tblStylePr w:type="band1Vert">
      <w:tblPr/>
      <w:tcPr>
        <w:shd w:val="clear" w:color="auto" w:fill="FA529A" w:themeFill="accent2" w:themeFillTint="7F"/>
      </w:tcPr>
    </w:tblStylePr>
    <w:tblStylePr w:type="band1Horz">
      <w:tblPr/>
      <w:tcPr>
        <w:shd w:val="clear" w:color="auto" w:fill="FA529A" w:themeFill="accent2" w:themeFillTint="7F"/>
      </w:tcPr>
    </w:tblStylePr>
  </w:style>
  <w:style w:type="table" w:styleId="MediumGrid1-Accent3">
    <w:name w:val="Medium Grid 1 Accent 3"/>
    <w:basedOn w:val="TableNormal"/>
    <w:uiPriority w:val="67"/>
    <w:pPr>
      <w:spacing w:after="0"/>
    </w:pPr>
    <w:tblPr>
      <w:tblStyleRowBandSize w:val="1"/>
      <w:tblStyleColBandSize w:val="1"/>
      <w:tblBorders>
        <w:top w:val="single" w:sz="8" w:space="0" w:color="F80B70" w:themeColor="accent3" w:themeTint="BF"/>
        <w:left w:val="single" w:sz="8" w:space="0" w:color="F80B70" w:themeColor="accent3" w:themeTint="BF"/>
        <w:bottom w:val="single" w:sz="8" w:space="0" w:color="F80B70" w:themeColor="accent3" w:themeTint="BF"/>
        <w:right w:val="single" w:sz="8" w:space="0" w:color="F80B70" w:themeColor="accent3" w:themeTint="BF"/>
        <w:insideH w:val="single" w:sz="8" w:space="0" w:color="F80B70" w:themeColor="accent3" w:themeTint="BF"/>
        <w:insideV w:val="single" w:sz="8" w:space="0" w:color="F80B70" w:themeColor="accent3" w:themeTint="BF"/>
      </w:tblBorders>
    </w:tblPr>
    <w:tcPr>
      <w:shd w:val="clear" w:color="auto" w:fill="FCAED0" w:themeFill="accent3" w:themeFillTint="3F"/>
    </w:tcPr>
    <w:tblStylePr w:type="firstRow">
      <w:rPr>
        <w:b/>
        <w:bCs/>
      </w:rPr>
    </w:tblStylePr>
    <w:tblStylePr w:type="lastRow">
      <w:rPr>
        <w:b/>
        <w:bCs/>
      </w:rPr>
      <w:tblPr/>
      <w:tcPr>
        <w:tcBorders>
          <w:top w:val="single" w:sz="18" w:space="0" w:color="F80B70" w:themeColor="accent3" w:themeTint="BF"/>
        </w:tcBorders>
      </w:tcPr>
    </w:tblStylePr>
    <w:tblStylePr w:type="firstCol">
      <w:rPr>
        <w:b/>
        <w:bCs/>
      </w:rPr>
    </w:tblStylePr>
    <w:tblStylePr w:type="lastCol">
      <w:rPr>
        <w:b/>
        <w:bCs/>
      </w:rPr>
    </w:tblStylePr>
    <w:tblStylePr w:type="band1Vert">
      <w:tblPr/>
      <w:tcPr>
        <w:shd w:val="clear" w:color="auto" w:fill="FA5DA0" w:themeFill="accent3" w:themeFillTint="7F"/>
      </w:tcPr>
    </w:tblStylePr>
    <w:tblStylePr w:type="band1Horz">
      <w:tblPr/>
      <w:tcPr>
        <w:shd w:val="clear" w:color="auto" w:fill="FA5DA0" w:themeFill="accent3" w:themeFillTint="7F"/>
      </w:tcPr>
    </w:tblStylePr>
  </w:style>
  <w:style w:type="table" w:styleId="MediumGrid1-Accent4">
    <w:name w:val="Medium Grid 1 Accent 4"/>
    <w:basedOn w:val="TableNormal"/>
    <w:uiPriority w:val="67"/>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insideV w:val="single" w:sz="8" w:space="0" w:color="FFEDED" w:themeColor="accent4" w:themeTint="BF"/>
      </w:tblBorders>
    </w:tblPr>
    <w:tcPr>
      <w:shd w:val="clear" w:color="auto" w:fill="FFF9F9" w:themeFill="accent4" w:themeFillTint="3F"/>
    </w:tcPr>
    <w:tblStylePr w:type="firstRow">
      <w:rPr>
        <w:b/>
        <w:bCs/>
      </w:rPr>
    </w:tblStylePr>
    <w:tblStylePr w:type="lastRow">
      <w:rPr>
        <w:b/>
        <w:bCs/>
      </w:rPr>
      <w:tblPr/>
      <w:tcPr>
        <w:tcBorders>
          <w:top w:val="single" w:sz="18" w:space="0" w:color="FFEDED" w:themeColor="accent4" w:themeTint="BF"/>
        </w:tcBorders>
      </w:tcPr>
    </w:tblStylePr>
    <w:tblStylePr w:type="firstCol">
      <w:rPr>
        <w:b/>
        <w:bCs/>
      </w:rPr>
    </w:tblStylePr>
    <w:tblStylePr w:type="lastCol">
      <w:rPr>
        <w:b/>
        <w:bCs/>
      </w:r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MediumGrid1-Accent5">
    <w:name w:val="Medium Grid 1 Accent 5"/>
    <w:basedOn w:val="TableNormal"/>
    <w:uiPriority w:val="67"/>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insideV w:val="single" w:sz="8" w:space="0" w:color="FEE3E5" w:themeColor="accent5" w:themeTint="BF"/>
      </w:tblBorders>
    </w:tblPr>
    <w:tcPr>
      <w:shd w:val="clear" w:color="auto" w:fill="FEF5F6" w:themeFill="accent5" w:themeFillTint="3F"/>
    </w:tcPr>
    <w:tblStylePr w:type="firstRow">
      <w:rPr>
        <w:b/>
        <w:bCs/>
      </w:rPr>
    </w:tblStylePr>
    <w:tblStylePr w:type="lastRow">
      <w:rPr>
        <w:b/>
        <w:bCs/>
      </w:rPr>
      <w:tblPr/>
      <w:tcPr>
        <w:tcBorders>
          <w:top w:val="single" w:sz="18" w:space="0" w:color="FEE3E5" w:themeColor="accent5" w:themeTint="BF"/>
        </w:tcBorders>
      </w:tcPr>
    </w:tblStylePr>
    <w:tblStylePr w:type="firstCol">
      <w:rPr>
        <w:b/>
        <w:bCs/>
      </w:rPr>
    </w:tblStylePr>
    <w:tblStylePr w:type="lastCol">
      <w:rPr>
        <w:b/>
        <w:bCs/>
      </w:r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MediumGrid1-Accent6">
    <w:name w:val="Medium Grid 1 Accent 6"/>
    <w:basedOn w:val="TableNormal"/>
    <w:uiPriority w:val="67"/>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insideV w:val="single" w:sz="8" w:space="0" w:color="D30027" w:themeColor="accent6" w:themeTint="BF"/>
      </w:tblBorders>
    </w:tblPr>
    <w:tcPr>
      <w:shd w:val="clear" w:color="auto" w:fill="FF9CAE" w:themeFill="accent6" w:themeFillTint="3F"/>
    </w:tcPr>
    <w:tblStylePr w:type="firstRow">
      <w:rPr>
        <w:b/>
        <w:bCs/>
      </w:rPr>
    </w:tblStylePr>
    <w:tblStylePr w:type="lastRow">
      <w:rPr>
        <w:b/>
        <w:bCs/>
      </w:rPr>
      <w:tblPr/>
      <w:tcPr>
        <w:tcBorders>
          <w:top w:val="single" w:sz="18" w:space="0" w:color="D30027" w:themeColor="accent6" w:themeTint="BF"/>
        </w:tcBorders>
      </w:tcPr>
    </w:tblStylePr>
    <w:tblStylePr w:type="firstCol">
      <w:rPr>
        <w:b/>
        <w:bCs/>
      </w:rPr>
    </w:tblStylePr>
    <w:tblStylePr w:type="lastCol">
      <w:rPr>
        <w:b/>
        <w:bCs/>
      </w:r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MediumGrid2">
    <w:name w:val="Medium Grid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cPr>
      <w:shd w:val="clear" w:color="auto" w:fill="FFFFFF" w:themeFill="text1" w:themeFillTint="3F"/>
    </w:tcPr>
    <w:tblStylePr w:type="firstRow">
      <w:rPr>
        <w:b/>
        <w:bCs/>
        <w:color w:val="FFFFFF" w:themeColor="text1"/>
      </w:rPr>
      <w:tblPr/>
      <w:tcPr>
        <w:shd w:val="clear" w:color="auto" w:fill="FFFFFF" w:themeFill="tex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FFF" w:themeFill="text1" w:themeFillTint="33"/>
      </w:tcPr>
    </w:tblStylePr>
    <w:tblStylePr w:type="band1Vert">
      <w:tblPr/>
      <w:tcPr>
        <w:shd w:val="clear" w:color="auto" w:fill="FFFFFF" w:themeFill="text1" w:themeFillTint="7F"/>
      </w:tcPr>
    </w:tblStylePr>
    <w:tblStylePr w:type="band1Horz">
      <w:tblPr/>
      <w:tcPr>
        <w:tcBorders>
          <w:insideH w:val="single" w:sz="6" w:space="0" w:color="FFFFFF" w:themeColor="text1"/>
          <w:insideV w:val="single" w:sz="6" w:space="0" w:color="FFFFFF" w:themeColor="text1"/>
        </w:tcBorders>
        <w:shd w:val="clear" w:color="auto" w:fill="FFFFF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8A002E" w:themeColor="accent1"/>
        <w:left w:val="single" w:sz="8" w:space="0" w:color="8A002E" w:themeColor="accent1"/>
        <w:bottom w:val="single" w:sz="8" w:space="0" w:color="8A002E" w:themeColor="accent1"/>
        <w:right w:val="single" w:sz="8" w:space="0" w:color="8A002E" w:themeColor="accent1"/>
        <w:insideH w:val="single" w:sz="8" w:space="0" w:color="8A002E" w:themeColor="accent1"/>
        <w:insideV w:val="single" w:sz="8" w:space="0" w:color="8A002E" w:themeColor="accent1"/>
      </w:tblBorders>
    </w:tblPr>
    <w:tcPr>
      <w:shd w:val="clear" w:color="auto" w:fill="FFA3C1" w:themeFill="accent1" w:themeFillTint="3F"/>
    </w:tcPr>
    <w:tblStylePr w:type="firstRow">
      <w:rPr>
        <w:b/>
        <w:bCs/>
        <w:color w:val="FFFFFF" w:themeColor="text1"/>
      </w:rPr>
      <w:tblPr/>
      <w:tcPr>
        <w:shd w:val="clear" w:color="auto" w:fill="FFDAE6" w:themeFill="accen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B4CD" w:themeFill="accent1" w:themeFillTint="33"/>
      </w:tcPr>
    </w:tblStylePr>
    <w:tblStylePr w:type="band1Vert">
      <w:tblPr/>
      <w:tcPr>
        <w:shd w:val="clear" w:color="auto" w:fill="FF4583" w:themeFill="accent1" w:themeFillTint="7F"/>
      </w:tcPr>
    </w:tblStylePr>
    <w:tblStylePr w:type="band1Horz">
      <w:tblPr/>
      <w:tcPr>
        <w:tcBorders>
          <w:insideH w:val="single" w:sz="6" w:space="0" w:color="8A002E" w:themeColor="accent1"/>
          <w:insideV w:val="single" w:sz="6" w:space="0" w:color="8A002E" w:themeColor="accent1"/>
        </w:tcBorders>
        <w:shd w:val="clear" w:color="auto" w:fill="FF458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960443" w:themeColor="accent2"/>
        <w:left w:val="single" w:sz="8" w:space="0" w:color="960443" w:themeColor="accent2"/>
        <w:bottom w:val="single" w:sz="8" w:space="0" w:color="960443" w:themeColor="accent2"/>
        <w:right w:val="single" w:sz="8" w:space="0" w:color="960443" w:themeColor="accent2"/>
        <w:insideH w:val="single" w:sz="8" w:space="0" w:color="960443" w:themeColor="accent2"/>
        <w:insideV w:val="single" w:sz="8" w:space="0" w:color="960443" w:themeColor="accent2"/>
      </w:tblBorders>
    </w:tblPr>
    <w:tcPr>
      <w:shd w:val="clear" w:color="auto" w:fill="FCA9CD" w:themeFill="accent2" w:themeFillTint="3F"/>
    </w:tcPr>
    <w:tblStylePr w:type="firstRow">
      <w:rPr>
        <w:b/>
        <w:bCs/>
        <w:color w:val="FFFFFF" w:themeColor="text1"/>
      </w:rPr>
      <w:tblPr/>
      <w:tcPr>
        <w:shd w:val="clear" w:color="auto" w:fill="FEDCEB" w:themeFill="accent2"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DB9D6" w:themeFill="accent2" w:themeFillTint="33"/>
      </w:tcPr>
    </w:tblStylePr>
    <w:tblStylePr w:type="band1Vert">
      <w:tblPr/>
      <w:tcPr>
        <w:shd w:val="clear" w:color="auto" w:fill="FA529A" w:themeFill="accent2" w:themeFillTint="7F"/>
      </w:tcPr>
    </w:tblStylePr>
    <w:tblStylePr w:type="band1Horz">
      <w:tblPr/>
      <w:tcPr>
        <w:tcBorders>
          <w:insideH w:val="single" w:sz="6" w:space="0" w:color="960443" w:themeColor="accent2"/>
          <w:insideV w:val="single" w:sz="6" w:space="0" w:color="960443" w:themeColor="accent2"/>
        </w:tcBorders>
        <w:shd w:val="clear" w:color="auto" w:fill="FA529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B054C" w:themeColor="accent3"/>
        <w:left w:val="single" w:sz="8" w:space="0" w:color="AB054C" w:themeColor="accent3"/>
        <w:bottom w:val="single" w:sz="8" w:space="0" w:color="AB054C" w:themeColor="accent3"/>
        <w:right w:val="single" w:sz="8" w:space="0" w:color="AB054C" w:themeColor="accent3"/>
        <w:insideH w:val="single" w:sz="8" w:space="0" w:color="AB054C" w:themeColor="accent3"/>
        <w:insideV w:val="single" w:sz="8" w:space="0" w:color="AB054C" w:themeColor="accent3"/>
      </w:tblBorders>
    </w:tblPr>
    <w:tcPr>
      <w:shd w:val="clear" w:color="auto" w:fill="FCAED0" w:themeFill="accent3" w:themeFillTint="3F"/>
    </w:tcPr>
    <w:tblStylePr w:type="firstRow">
      <w:rPr>
        <w:b/>
        <w:bCs/>
        <w:color w:val="FFFFFF" w:themeColor="text1"/>
      </w:rPr>
      <w:tblPr/>
      <w:tcPr>
        <w:shd w:val="clear" w:color="auto" w:fill="FEDEEC" w:themeFill="accent3"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DBDD8" w:themeFill="accent3" w:themeFillTint="33"/>
      </w:tcPr>
    </w:tblStylePr>
    <w:tblStylePr w:type="band1Vert">
      <w:tblPr/>
      <w:tcPr>
        <w:shd w:val="clear" w:color="auto" w:fill="FA5DA0" w:themeFill="accent3" w:themeFillTint="7F"/>
      </w:tcPr>
    </w:tblStylePr>
    <w:tblStylePr w:type="band1Horz">
      <w:tblPr/>
      <w:tcPr>
        <w:tcBorders>
          <w:insideH w:val="single" w:sz="6" w:space="0" w:color="AB054C" w:themeColor="accent3"/>
          <w:insideV w:val="single" w:sz="6" w:space="0" w:color="AB054C" w:themeColor="accent3"/>
        </w:tcBorders>
        <w:shd w:val="clear" w:color="auto" w:fill="FA5DA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cPr>
      <w:shd w:val="clear" w:color="auto" w:fill="FFF9F9" w:themeFill="accent4" w:themeFillTint="3F"/>
    </w:tcPr>
    <w:tblStylePr w:type="firstRow">
      <w:rPr>
        <w:b/>
        <w:bCs/>
        <w:color w:val="FFFFFF" w:themeColor="text1"/>
      </w:rPr>
      <w:tblPr/>
      <w:tcPr>
        <w:shd w:val="clear" w:color="auto" w:fill="FFFCFC" w:themeFill="accent4"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AFA" w:themeFill="accent4" w:themeFillTint="33"/>
      </w:tcPr>
    </w:tblStylePr>
    <w:tblStylePr w:type="band1Vert">
      <w:tblPr/>
      <w:tcPr>
        <w:shd w:val="clear" w:color="auto" w:fill="FFF3F3" w:themeFill="accent4" w:themeFillTint="7F"/>
      </w:tcPr>
    </w:tblStylePr>
    <w:tblStylePr w:type="band1Horz">
      <w:tblPr/>
      <w:tcPr>
        <w:tcBorders>
          <w:insideH w:val="single" w:sz="6" w:space="0" w:color="FFE7E7" w:themeColor="accent4"/>
          <w:insideV w:val="single" w:sz="6" w:space="0" w:color="FFE7E7" w:themeColor="accent4"/>
        </w:tcBorders>
        <w:shd w:val="clear" w:color="auto" w:fill="FFF3F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cPr>
      <w:shd w:val="clear" w:color="auto" w:fill="FEF5F6" w:themeFill="accent5" w:themeFillTint="3F"/>
    </w:tcPr>
    <w:tblStylePr w:type="firstRow">
      <w:rPr>
        <w:b/>
        <w:bCs/>
        <w:color w:val="FFFFFF" w:themeColor="text1"/>
      </w:rPr>
      <w:tblPr/>
      <w:tcPr>
        <w:shd w:val="clear" w:color="auto" w:fill="FFFBFB" w:themeFill="accent5"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7F8" w:themeFill="accent5" w:themeFillTint="33"/>
      </w:tcPr>
    </w:tblStylePr>
    <w:tblStylePr w:type="band1Vert">
      <w:tblPr/>
      <w:tcPr>
        <w:shd w:val="clear" w:color="auto" w:fill="FEECED" w:themeFill="accent5" w:themeFillTint="7F"/>
      </w:tcPr>
    </w:tblStylePr>
    <w:tblStylePr w:type="band1Horz">
      <w:tblPr/>
      <w:tcPr>
        <w:tcBorders>
          <w:insideH w:val="single" w:sz="6" w:space="0" w:color="FEDADD" w:themeColor="accent5"/>
          <w:insideV w:val="single" w:sz="6" w:space="0" w:color="FEDADD" w:themeColor="accent5"/>
        </w:tcBorders>
        <w:shd w:val="clear" w:color="auto" w:fill="FEECE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cPr>
      <w:shd w:val="clear" w:color="auto" w:fill="FF9CAE" w:themeFill="accent6" w:themeFillTint="3F"/>
    </w:tcPr>
    <w:tblStylePr w:type="firstRow">
      <w:rPr>
        <w:b/>
        <w:bCs/>
        <w:color w:val="FFFFFF" w:themeColor="text1"/>
      </w:rPr>
      <w:tblPr/>
      <w:tcPr>
        <w:shd w:val="clear" w:color="auto" w:fill="FFD7DE" w:themeFill="accent6"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AFBE" w:themeFill="accent6" w:themeFillTint="33"/>
      </w:tcPr>
    </w:tblStylePr>
    <w:tblStylePr w:type="band1Vert">
      <w:tblPr/>
      <w:tcPr>
        <w:shd w:val="clear" w:color="auto" w:fill="FF385D" w:themeFill="accent6" w:themeFillTint="7F"/>
      </w:tcPr>
    </w:tblStylePr>
    <w:tblStylePr w:type="band1Horz">
      <w:tblPr/>
      <w:tcPr>
        <w:tcBorders>
          <w:insideH w:val="single" w:sz="6" w:space="0" w:color="700015" w:themeColor="accent6"/>
          <w:insideV w:val="single" w:sz="6" w:space="0" w:color="700015" w:themeColor="accent6"/>
        </w:tcBorders>
        <w:shd w:val="clear" w:color="auto" w:fill="FF385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F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FFFF"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FFF"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F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FFF" w:themeFill="text1" w:themeFillTint="7F"/>
      </w:tcPr>
    </w:tblStylePr>
  </w:style>
  <w:style w:type="table" w:styleId="MediumGrid3-Accent1">
    <w:name w:val="Medium Grid 3 Accent 1"/>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3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002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002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002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002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58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583" w:themeFill="accent1" w:themeFillTint="7F"/>
      </w:tcPr>
    </w:tblStylePr>
  </w:style>
  <w:style w:type="table" w:styleId="MediumGrid3-Accent2">
    <w:name w:val="Medium Grid 3 Accent 2"/>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A9C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6044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6044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6044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6044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529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529A" w:themeFill="accent2" w:themeFillTint="7F"/>
      </w:tcPr>
    </w:tblStylePr>
  </w:style>
  <w:style w:type="table" w:styleId="MediumGrid3-Accent3">
    <w:name w:val="Medium Grid 3 Accent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AED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B054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B054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B054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B054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5DA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5DA0" w:themeFill="accent3" w:themeFillTint="7F"/>
      </w:tcPr>
    </w:tblStylePr>
  </w:style>
  <w:style w:type="table" w:styleId="MediumGrid3-Accent4">
    <w:name w:val="Medium Grid 3 Accent 4"/>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9F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7E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7E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3F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3F3" w:themeFill="accent4" w:themeFillTint="7F"/>
      </w:tcPr>
    </w:tblStylePr>
  </w:style>
  <w:style w:type="table" w:styleId="MediumGrid3-Accent5">
    <w:name w:val="Medium Grid 3 Accent 5"/>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F5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DA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DA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ECE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ECED" w:themeFill="accent5" w:themeFillTint="7F"/>
      </w:tcPr>
    </w:tblStylePr>
  </w:style>
  <w:style w:type="table" w:styleId="MediumGrid3-Accent6">
    <w:name w:val="Medium Grid 3 Accent 6"/>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A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001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001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5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5D" w:themeFill="accent6" w:themeFillTint="7F"/>
      </w:tcPr>
    </w:tblStylePr>
  </w:style>
  <w:style w:type="table" w:styleId="MediumList1">
    <w:name w:val="Medium List 1"/>
    <w:basedOn w:val="TableNormal"/>
    <w:uiPriority w:val="65"/>
    <w:pPr>
      <w:spacing w:after="0"/>
    </w:pPr>
    <w:rPr>
      <w:color w:val="FFFFFF" w:themeColor="text1"/>
    </w:rPr>
    <w:tblPr>
      <w:tblStyleRowBandSize w:val="1"/>
      <w:tblStyleColBandSize w:val="1"/>
      <w:tblBorders>
        <w:top w:val="single" w:sz="8" w:space="0" w:color="FFFFFF" w:themeColor="text1"/>
        <w:bottom w:val="single" w:sz="8" w:space="0" w:color="FFFFFF" w:themeColor="text1"/>
      </w:tblBorders>
    </w:tblPr>
    <w:tblStylePr w:type="firstRow">
      <w:rPr>
        <w:rFonts w:asciiTheme="majorHAnsi" w:eastAsiaTheme="majorEastAsia" w:hAnsiTheme="majorHAnsi" w:cstheme="majorBidi"/>
      </w:rPr>
      <w:tblPr/>
      <w:tcPr>
        <w:tcBorders>
          <w:top w:val="nil"/>
          <w:bottom w:val="single" w:sz="8" w:space="0" w:color="FFFFFF" w:themeColor="text1"/>
        </w:tcBorders>
      </w:tcPr>
    </w:tblStylePr>
    <w:tblStylePr w:type="lastRow">
      <w:rPr>
        <w:b/>
        <w:bCs/>
        <w:color w:val="FFFFFF" w:themeColor="text2"/>
      </w:rPr>
      <w:tblPr/>
      <w:tcPr>
        <w:tcBorders>
          <w:top w:val="single" w:sz="8" w:space="0" w:color="FFFFFF" w:themeColor="text1"/>
          <w:bottom w:val="single" w:sz="8" w:space="0" w:color="FFFFFF" w:themeColor="text1"/>
        </w:tcBorders>
      </w:tcPr>
    </w:tblStylePr>
    <w:tblStylePr w:type="firstCol">
      <w:rPr>
        <w:b/>
        <w:bCs/>
      </w:rPr>
    </w:tblStylePr>
    <w:tblStylePr w:type="lastCol">
      <w:rPr>
        <w:b/>
        <w:bCs/>
      </w:rPr>
      <w:tblPr/>
      <w:tcPr>
        <w:tcBorders>
          <w:top w:val="single" w:sz="8" w:space="0" w:color="FFFFFF" w:themeColor="text1"/>
          <w:bottom w:val="single" w:sz="8" w:space="0" w:color="FFFFFF" w:themeColor="text1"/>
        </w:tcBorders>
      </w:tcPr>
    </w:tblStylePr>
    <w:tblStylePr w:type="band1Vert">
      <w:tblPr/>
      <w:tcPr>
        <w:shd w:val="clear" w:color="auto" w:fill="FFFFFF" w:themeFill="text1" w:themeFillTint="3F"/>
      </w:tcPr>
    </w:tblStylePr>
    <w:tblStylePr w:type="band1Horz">
      <w:tblPr/>
      <w:tcPr>
        <w:shd w:val="clear" w:color="auto" w:fill="FFFFFF" w:themeFill="text1" w:themeFillTint="3F"/>
      </w:tcPr>
    </w:tblStylePr>
  </w:style>
  <w:style w:type="table" w:styleId="MediumList1-Accent1">
    <w:name w:val="Medium List 1 Accent 1"/>
    <w:basedOn w:val="TableNormal"/>
    <w:uiPriority w:val="65"/>
    <w:pPr>
      <w:spacing w:after="0"/>
    </w:pPr>
    <w:rPr>
      <w:color w:val="FFFFFF" w:themeColor="text1"/>
    </w:rPr>
    <w:tblPr>
      <w:tblStyleRowBandSize w:val="1"/>
      <w:tblStyleColBandSize w:val="1"/>
      <w:tblBorders>
        <w:top w:val="single" w:sz="8" w:space="0" w:color="8A002E" w:themeColor="accent1"/>
        <w:bottom w:val="single" w:sz="8" w:space="0" w:color="8A002E" w:themeColor="accent1"/>
      </w:tblBorders>
    </w:tblPr>
    <w:tblStylePr w:type="firstRow">
      <w:rPr>
        <w:rFonts w:asciiTheme="majorHAnsi" w:eastAsiaTheme="majorEastAsia" w:hAnsiTheme="majorHAnsi" w:cstheme="majorBidi"/>
      </w:rPr>
      <w:tblPr/>
      <w:tcPr>
        <w:tcBorders>
          <w:top w:val="nil"/>
          <w:bottom w:val="single" w:sz="8" w:space="0" w:color="8A002E" w:themeColor="accent1"/>
        </w:tcBorders>
      </w:tcPr>
    </w:tblStylePr>
    <w:tblStylePr w:type="lastRow">
      <w:rPr>
        <w:b/>
        <w:bCs/>
        <w:color w:val="FFFFFF" w:themeColor="text2"/>
      </w:rPr>
      <w:tblPr/>
      <w:tcPr>
        <w:tcBorders>
          <w:top w:val="single" w:sz="8" w:space="0" w:color="8A002E" w:themeColor="accent1"/>
          <w:bottom w:val="single" w:sz="8" w:space="0" w:color="8A002E" w:themeColor="accent1"/>
        </w:tcBorders>
      </w:tcPr>
    </w:tblStylePr>
    <w:tblStylePr w:type="firstCol">
      <w:rPr>
        <w:b/>
        <w:bCs/>
      </w:rPr>
    </w:tblStylePr>
    <w:tblStylePr w:type="lastCol">
      <w:rPr>
        <w:b/>
        <w:bCs/>
      </w:rPr>
      <w:tblPr/>
      <w:tcPr>
        <w:tcBorders>
          <w:top w:val="single" w:sz="8" w:space="0" w:color="8A002E" w:themeColor="accent1"/>
          <w:bottom w:val="single" w:sz="8" w:space="0" w:color="8A002E" w:themeColor="accent1"/>
        </w:tcBorders>
      </w:tcPr>
    </w:tblStylePr>
    <w:tblStylePr w:type="band1Vert">
      <w:tblPr/>
      <w:tcPr>
        <w:shd w:val="clear" w:color="auto" w:fill="FFA3C1" w:themeFill="accent1" w:themeFillTint="3F"/>
      </w:tcPr>
    </w:tblStylePr>
    <w:tblStylePr w:type="band1Horz">
      <w:tblPr/>
      <w:tcPr>
        <w:shd w:val="clear" w:color="auto" w:fill="FFA3C1" w:themeFill="accent1" w:themeFillTint="3F"/>
      </w:tcPr>
    </w:tblStylePr>
  </w:style>
  <w:style w:type="table" w:styleId="MediumList1-Accent2">
    <w:name w:val="Medium List 1 Accent 2"/>
    <w:basedOn w:val="TableNormal"/>
    <w:uiPriority w:val="65"/>
    <w:pPr>
      <w:spacing w:after="0"/>
    </w:pPr>
    <w:rPr>
      <w:color w:val="FFFFFF" w:themeColor="text1"/>
    </w:rPr>
    <w:tblPr>
      <w:tblStyleRowBandSize w:val="1"/>
      <w:tblStyleColBandSize w:val="1"/>
      <w:tblBorders>
        <w:top w:val="single" w:sz="8" w:space="0" w:color="960443" w:themeColor="accent2"/>
        <w:bottom w:val="single" w:sz="8" w:space="0" w:color="960443" w:themeColor="accent2"/>
      </w:tblBorders>
    </w:tblPr>
    <w:tblStylePr w:type="firstRow">
      <w:rPr>
        <w:rFonts w:asciiTheme="majorHAnsi" w:eastAsiaTheme="majorEastAsia" w:hAnsiTheme="majorHAnsi" w:cstheme="majorBidi"/>
      </w:rPr>
      <w:tblPr/>
      <w:tcPr>
        <w:tcBorders>
          <w:top w:val="nil"/>
          <w:bottom w:val="single" w:sz="8" w:space="0" w:color="960443" w:themeColor="accent2"/>
        </w:tcBorders>
      </w:tcPr>
    </w:tblStylePr>
    <w:tblStylePr w:type="lastRow">
      <w:rPr>
        <w:b/>
        <w:bCs/>
        <w:color w:val="FFFFFF" w:themeColor="text2"/>
      </w:rPr>
      <w:tblPr/>
      <w:tcPr>
        <w:tcBorders>
          <w:top w:val="single" w:sz="8" w:space="0" w:color="960443" w:themeColor="accent2"/>
          <w:bottom w:val="single" w:sz="8" w:space="0" w:color="960443" w:themeColor="accent2"/>
        </w:tcBorders>
      </w:tcPr>
    </w:tblStylePr>
    <w:tblStylePr w:type="firstCol">
      <w:rPr>
        <w:b/>
        <w:bCs/>
      </w:rPr>
    </w:tblStylePr>
    <w:tblStylePr w:type="lastCol">
      <w:rPr>
        <w:b/>
        <w:bCs/>
      </w:rPr>
      <w:tblPr/>
      <w:tcPr>
        <w:tcBorders>
          <w:top w:val="single" w:sz="8" w:space="0" w:color="960443" w:themeColor="accent2"/>
          <w:bottom w:val="single" w:sz="8" w:space="0" w:color="960443" w:themeColor="accent2"/>
        </w:tcBorders>
      </w:tcPr>
    </w:tblStylePr>
    <w:tblStylePr w:type="band1Vert">
      <w:tblPr/>
      <w:tcPr>
        <w:shd w:val="clear" w:color="auto" w:fill="FCA9CD" w:themeFill="accent2" w:themeFillTint="3F"/>
      </w:tcPr>
    </w:tblStylePr>
    <w:tblStylePr w:type="band1Horz">
      <w:tblPr/>
      <w:tcPr>
        <w:shd w:val="clear" w:color="auto" w:fill="FCA9CD" w:themeFill="accent2" w:themeFillTint="3F"/>
      </w:tcPr>
    </w:tblStylePr>
  </w:style>
  <w:style w:type="table" w:styleId="MediumList1-Accent3">
    <w:name w:val="Medium List 1 Accent 3"/>
    <w:basedOn w:val="TableNormal"/>
    <w:uiPriority w:val="65"/>
    <w:pPr>
      <w:spacing w:after="0"/>
    </w:pPr>
    <w:rPr>
      <w:color w:val="FFFFFF" w:themeColor="text1"/>
    </w:rPr>
    <w:tblPr>
      <w:tblStyleRowBandSize w:val="1"/>
      <w:tblStyleColBandSize w:val="1"/>
      <w:tblBorders>
        <w:top w:val="single" w:sz="8" w:space="0" w:color="AB054C" w:themeColor="accent3"/>
        <w:bottom w:val="single" w:sz="8" w:space="0" w:color="AB054C" w:themeColor="accent3"/>
      </w:tblBorders>
    </w:tblPr>
    <w:tblStylePr w:type="firstRow">
      <w:rPr>
        <w:rFonts w:asciiTheme="majorHAnsi" w:eastAsiaTheme="majorEastAsia" w:hAnsiTheme="majorHAnsi" w:cstheme="majorBidi"/>
      </w:rPr>
      <w:tblPr/>
      <w:tcPr>
        <w:tcBorders>
          <w:top w:val="nil"/>
          <w:bottom w:val="single" w:sz="8" w:space="0" w:color="AB054C" w:themeColor="accent3"/>
        </w:tcBorders>
      </w:tcPr>
    </w:tblStylePr>
    <w:tblStylePr w:type="lastRow">
      <w:rPr>
        <w:b/>
        <w:bCs/>
        <w:color w:val="FFFFFF" w:themeColor="text2"/>
      </w:rPr>
      <w:tblPr/>
      <w:tcPr>
        <w:tcBorders>
          <w:top w:val="single" w:sz="8" w:space="0" w:color="AB054C" w:themeColor="accent3"/>
          <w:bottom w:val="single" w:sz="8" w:space="0" w:color="AB054C" w:themeColor="accent3"/>
        </w:tcBorders>
      </w:tcPr>
    </w:tblStylePr>
    <w:tblStylePr w:type="firstCol">
      <w:rPr>
        <w:b/>
        <w:bCs/>
      </w:rPr>
    </w:tblStylePr>
    <w:tblStylePr w:type="lastCol">
      <w:rPr>
        <w:b/>
        <w:bCs/>
      </w:rPr>
      <w:tblPr/>
      <w:tcPr>
        <w:tcBorders>
          <w:top w:val="single" w:sz="8" w:space="0" w:color="AB054C" w:themeColor="accent3"/>
          <w:bottom w:val="single" w:sz="8" w:space="0" w:color="AB054C" w:themeColor="accent3"/>
        </w:tcBorders>
      </w:tcPr>
    </w:tblStylePr>
    <w:tblStylePr w:type="band1Vert">
      <w:tblPr/>
      <w:tcPr>
        <w:shd w:val="clear" w:color="auto" w:fill="FCAED0" w:themeFill="accent3" w:themeFillTint="3F"/>
      </w:tcPr>
    </w:tblStylePr>
    <w:tblStylePr w:type="band1Horz">
      <w:tblPr/>
      <w:tcPr>
        <w:shd w:val="clear" w:color="auto" w:fill="FCAED0" w:themeFill="accent3" w:themeFillTint="3F"/>
      </w:tcPr>
    </w:tblStylePr>
  </w:style>
  <w:style w:type="table" w:styleId="MediumList1-Accent4">
    <w:name w:val="Medium List 1 Accent 4"/>
    <w:basedOn w:val="TableNormal"/>
    <w:uiPriority w:val="65"/>
    <w:pPr>
      <w:spacing w:after="0"/>
    </w:pPr>
    <w:rPr>
      <w:color w:val="FFFFFF" w:themeColor="text1"/>
    </w:rPr>
    <w:tblPr>
      <w:tblStyleRowBandSize w:val="1"/>
      <w:tblStyleColBandSize w:val="1"/>
      <w:tblBorders>
        <w:top w:val="single" w:sz="8" w:space="0" w:color="FFE7E7" w:themeColor="accent4"/>
        <w:bottom w:val="single" w:sz="8" w:space="0" w:color="FFE7E7" w:themeColor="accent4"/>
      </w:tblBorders>
    </w:tblPr>
    <w:tblStylePr w:type="firstRow">
      <w:rPr>
        <w:rFonts w:asciiTheme="majorHAnsi" w:eastAsiaTheme="majorEastAsia" w:hAnsiTheme="majorHAnsi" w:cstheme="majorBidi"/>
      </w:rPr>
      <w:tblPr/>
      <w:tcPr>
        <w:tcBorders>
          <w:top w:val="nil"/>
          <w:bottom w:val="single" w:sz="8" w:space="0" w:color="FFE7E7" w:themeColor="accent4"/>
        </w:tcBorders>
      </w:tcPr>
    </w:tblStylePr>
    <w:tblStylePr w:type="lastRow">
      <w:rPr>
        <w:b/>
        <w:bCs/>
        <w:color w:val="FFFFFF" w:themeColor="text2"/>
      </w:rPr>
      <w:tblPr/>
      <w:tcPr>
        <w:tcBorders>
          <w:top w:val="single" w:sz="8" w:space="0" w:color="FFE7E7" w:themeColor="accent4"/>
          <w:bottom w:val="single" w:sz="8" w:space="0" w:color="FFE7E7" w:themeColor="accent4"/>
        </w:tcBorders>
      </w:tcPr>
    </w:tblStylePr>
    <w:tblStylePr w:type="firstCol">
      <w:rPr>
        <w:b/>
        <w:bCs/>
      </w:rPr>
    </w:tblStylePr>
    <w:tblStylePr w:type="lastCol">
      <w:rPr>
        <w:b/>
        <w:bCs/>
      </w:rPr>
      <w:tblPr/>
      <w:tcPr>
        <w:tcBorders>
          <w:top w:val="single" w:sz="8" w:space="0" w:color="FFE7E7" w:themeColor="accent4"/>
          <w:bottom w:val="single" w:sz="8" w:space="0" w:color="FFE7E7" w:themeColor="accent4"/>
        </w:tcBorders>
      </w:tcPr>
    </w:tblStylePr>
    <w:tblStylePr w:type="band1Vert">
      <w:tblPr/>
      <w:tcPr>
        <w:shd w:val="clear" w:color="auto" w:fill="FFF9F9" w:themeFill="accent4" w:themeFillTint="3F"/>
      </w:tcPr>
    </w:tblStylePr>
    <w:tblStylePr w:type="band1Horz">
      <w:tblPr/>
      <w:tcPr>
        <w:shd w:val="clear" w:color="auto" w:fill="FFF9F9" w:themeFill="accent4" w:themeFillTint="3F"/>
      </w:tcPr>
    </w:tblStylePr>
  </w:style>
  <w:style w:type="table" w:styleId="MediumList1-Accent5">
    <w:name w:val="Medium List 1 Accent 5"/>
    <w:basedOn w:val="TableNormal"/>
    <w:uiPriority w:val="65"/>
    <w:pPr>
      <w:spacing w:after="0"/>
    </w:pPr>
    <w:rPr>
      <w:color w:val="FFFFFF" w:themeColor="text1"/>
    </w:rPr>
    <w:tblPr>
      <w:tblStyleRowBandSize w:val="1"/>
      <w:tblStyleColBandSize w:val="1"/>
      <w:tblBorders>
        <w:top w:val="single" w:sz="8" w:space="0" w:color="FEDADD" w:themeColor="accent5"/>
        <w:bottom w:val="single" w:sz="8" w:space="0" w:color="FEDADD" w:themeColor="accent5"/>
      </w:tblBorders>
    </w:tblPr>
    <w:tblStylePr w:type="firstRow">
      <w:rPr>
        <w:rFonts w:asciiTheme="majorHAnsi" w:eastAsiaTheme="majorEastAsia" w:hAnsiTheme="majorHAnsi" w:cstheme="majorBidi"/>
      </w:rPr>
      <w:tblPr/>
      <w:tcPr>
        <w:tcBorders>
          <w:top w:val="nil"/>
          <w:bottom w:val="single" w:sz="8" w:space="0" w:color="FEDADD" w:themeColor="accent5"/>
        </w:tcBorders>
      </w:tcPr>
    </w:tblStylePr>
    <w:tblStylePr w:type="lastRow">
      <w:rPr>
        <w:b/>
        <w:bCs/>
        <w:color w:val="FFFFFF" w:themeColor="text2"/>
      </w:rPr>
      <w:tblPr/>
      <w:tcPr>
        <w:tcBorders>
          <w:top w:val="single" w:sz="8" w:space="0" w:color="FEDADD" w:themeColor="accent5"/>
          <w:bottom w:val="single" w:sz="8" w:space="0" w:color="FEDADD" w:themeColor="accent5"/>
        </w:tcBorders>
      </w:tcPr>
    </w:tblStylePr>
    <w:tblStylePr w:type="firstCol">
      <w:rPr>
        <w:b/>
        <w:bCs/>
      </w:rPr>
    </w:tblStylePr>
    <w:tblStylePr w:type="lastCol">
      <w:rPr>
        <w:b/>
        <w:bCs/>
      </w:rPr>
      <w:tblPr/>
      <w:tcPr>
        <w:tcBorders>
          <w:top w:val="single" w:sz="8" w:space="0" w:color="FEDADD" w:themeColor="accent5"/>
          <w:bottom w:val="single" w:sz="8" w:space="0" w:color="FEDADD" w:themeColor="accent5"/>
        </w:tcBorders>
      </w:tcPr>
    </w:tblStylePr>
    <w:tblStylePr w:type="band1Vert">
      <w:tblPr/>
      <w:tcPr>
        <w:shd w:val="clear" w:color="auto" w:fill="FEF5F6" w:themeFill="accent5" w:themeFillTint="3F"/>
      </w:tcPr>
    </w:tblStylePr>
    <w:tblStylePr w:type="band1Horz">
      <w:tblPr/>
      <w:tcPr>
        <w:shd w:val="clear" w:color="auto" w:fill="FEF5F6" w:themeFill="accent5" w:themeFillTint="3F"/>
      </w:tcPr>
    </w:tblStylePr>
  </w:style>
  <w:style w:type="table" w:styleId="MediumList1-Accent6">
    <w:name w:val="Medium List 1 Accent 6"/>
    <w:basedOn w:val="TableNormal"/>
    <w:uiPriority w:val="65"/>
    <w:pPr>
      <w:spacing w:after="0"/>
    </w:pPr>
    <w:rPr>
      <w:color w:val="FFFFFF" w:themeColor="text1"/>
    </w:rPr>
    <w:tblPr>
      <w:tblStyleRowBandSize w:val="1"/>
      <w:tblStyleColBandSize w:val="1"/>
      <w:tblBorders>
        <w:top w:val="single" w:sz="8" w:space="0" w:color="700015" w:themeColor="accent6"/>
        <w:bottom w:val="single" w:sz="8" w:space="0" w:color="700015" w:themeColor="accent6"/>
      </w:tblBorders>
    </w:tblPr>
    <w:tblStylePr w:type="firstRow">
      <w:rPr>
        <w:rFonts w:asciiTheme="majorHAnsi" w:eastAsiaTheme="majorEastAsia" w:hAnsiTheme="majorHAnsi" w:cstheme="majorBidi"/>
      </w:rPr>
      <w:tblPr/>
      <w:tcPr>
        <w:tcBorders>
          <w:top w:val="nil"/>
          <w:bottom w:val="single" w:sz="8" w:space="0" w:color="700015" w:themeColor="accent6"/>
        </w:tcBorders>
      </w:tcPr>
    </w:tblStylePr>
    <w:tblStylePr w:type="lastRow">
      <w:rPr>
        <w:b/>
        <w:bCs/>
        <w:color w:val="FFFFFF" w:themeColor="text2"/>
      </w:rPr>
      <w:tblPr/>
      <w:tcPr>
        <w:tcBorders>
          <w:top w:val="single" w:sz="8" w:space="0" w:color="700015" w:themeColor="accent6"/>
          <w:bottom w:val="single" w:sz="8" w:space="0" w:color="700015" w:themeColor="accent6"/>
        </w:tcBorders>
      </w:tcPr>
    </w:tblStylePr>
    <w:tblStylePr w:type="firstCol">
      <w:rPr>
        <w:b/>
        <w:bCs/>
      </w:rPr>
    </w:tblStylePr>
    <w:tblStylePr w:type="lastCol">
      <w:rPr>
        <w:b/>
        <w:bCs/>
      </w:rPr>
      <w:tblPr/>
      <w:tcPr>
        <w:tcBorders>
          <w:top w:val="single" w:sz="8" w:space="0" w:color="700015" w:themeColor="accent6"/>
          <w:bottom w:val="single" w:sz="8" w:space="0" w:color="700015" w:themeColor="accent6"/>
        </w:tcBorders>
      </w:tcPr>
    </w:tblStylePr>
    <w:tblStylePr w:type="band1Vert">
      <w:tblPr/>
      <w:tcPr>
        <w:shd w:val="clear" w:color="auto" w:fill="FF9CAE" w:themeFill="accent6" w:themeFillTint="3F"/>
      </w:tcPr>
    </w:tblStylePr>
    <w:tblStylePr w:type="band1Horz">
      <w:tblPr/>
      <w:tcPr>
        <w:shd w:val="clear" w:color="auto" w:fill="FF9CAE" w:themeFill="accent6" w:themeFillTint="3F"/>
      </w:tcPr>
    </w:tblStylePr>
  </w:style>
  <w:style w:type="table" w:styleId="MediumList2">
    <w:name w:val="Medium Lis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rPr>
        <w:sz w:val="24"/>
        <w:szCs w:val="24"/>
      </w:rPr>
      <w:tblPr/>
      <w:tcPr>
        <w:tcBorders>
          <w:top w:val="nil"/>
          <w:left w:val="nil"/>
          <w:bottom w:val="single" w:sz="24" w:space="0" w:color="FFFFFF" w:themeColor="text1"/>
          <w:right w:val="nil"/>
          <w:insideH w:val="nil"/>
          <w:insideV w:val="nil"/>
        </w:tcBorders>
        <w:shd w:val="clear" w:color="auto" w:fill="FFFFFF" w:themeFill="background1"/>
      </w:tcPr>
    </w:tblStylePr>
    <w:tblStylePr w:type="lastRow">
      <w:tblPr/>
      <w:tcPr>
        <w:tcBorders>
          <w:top w:val="single" w:sz="8" w:space="0" w:color="FFFFF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FFFF" w:themeColor="text1"/>
          <w:insideH w:val="nil"/>
          <w:insideV w:val="nil"/>
        </w:tcBorders>
        <w:shd w:val="clear" w:color="auto" w:fill="FFFFFF" w:themeFill="background1"/>
      </w:tcPr>
    </w:tblStylePr>
    <w:tblStylePr w:type="lastCol">
      <w:tblPr/>
      <w:tcPr>
        <w:tcBorders>
          <w:top w:val="nil"/>
          <w:left w:val="single" w:sz="8" w:space="0" w:color="FFFFF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top w:val="nil"/>
          <w:bottom w:val="nil"/>
          <w:insideH w:val="nil"/>
          <w:insideV w:val="nil"/>
        </w:tcBorders>
        <w:shd w:val="clear" w:color="auto" w:fill="FFFF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8A002E" w:themeColor="accent1"/>
        <w:left w:val="single" w:sz="8" w:space="0" w:color="8A002E" w:themeColor="accent1"/>
        <w:bottom w:val="single" w:sz="8" w:space="0" w:color="8A002E" w:themeColor="accent1"/>
        <w:right w:val="single" w:sz="8" w:space="0" w:color="8A002E" w:themeColor="accent1"/>
      </w:tblBorders>
    </w:tblPr>
    <w:tblStylePr w:type="firstRow">
      <w:rPr>
        <w:sz w:val="24"/>
        <w:szCs w:val="24"/>
      </w:rPr>
      <w:tblPr/>
      <w:tcPr>
        <w:tcBorders>
          <w:top w:val="nil"/>
          <w:left w:val="nil"/>
          <w:bottom w:val="single" w:sz="24" w:space="0" w:color="8A002E" w:themeColor="accent1"/>
          <w:right w:val="nil"/>
          <w:insideH w:val="nil"/>
          <w:insideV w:val="nil"/>
        </w:tcBorders>
        <w:shd w:val="clear" w:color="auto" w:fill="FFFFFF" w:themeFill="background1"/>
      </w:tcPr>
    </w:tblStylePr>
    <w:tblStylePr w:type="lastRow">
      <w:tblPr/>
      <w:tcPr>
        <w:tcBorders>
          <w:top w:val="single" w:sz="8" w:space="0" w:color="8A002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002E" w:themeColor="accent1"/>
          <w:insideH w:val="nil"/>
          <w:insideV w:val="nil"/>
        </w:tcBorders>
        <w:shd w:val="clear" w:color="auto" w:fill="FFFFFF" w:themeFill="background1"/>
      </w:tcPr>
    </w:tblStylePr>
    <w:tblStylePr w:type="lastCol">
      <w:tblPr/>
      <w:tcPr>
        <w:tcBorders>
          <w:top w:val="nil"/>
          <w:left w:val="single" w:sz="8" w:space="0" w:color="8A002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3C1" w:themeFill="accent1" w:themeFillTint="3F"/>
      </w:tcPr>
    </w:tblStylePr>
    <w:tblStylePr w:type="band1Horz">
      <w:tblPr/>
      <w:tcPr>
        <w:tcBorders>
          <w:top w:val="nil"/>
          <w:bottom w:val="nil"/>
          <w:insideH w:val="nil"/>
          <w:insideV w:val="nil"/>
        </w:tcBorders>
        <w:shd w:val="clear" w:color="auto" w:fill="FFA3C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960443" w:themeColor="accent2"/>
        <w:left w:val="single" w:sz="8" w:space="0" w:color="960443" w:themeColor="accent2"/>
        <w:bottom w:val="single" w:sz="8" w:space="0" w:color="960443" w:themeColor="accent2"/>
        <w:right w:val="single" w:sz="8" w:space="0" w:color="960443" w:themeColor="accent2"/>
      </w:tblBorders>
    </w:tblPr>
    <w:tblStylePr w:type="firstRow">
      <w:rPr>
        <w:sz w:val="24"/>
        <w:szCs w:val="24"/>
      </w:rPr>
      <w:tblPr/>
      <w:tcPr>
        <w:tcBorders>
          <w:top w:val="nil"/>
          <w:left w:val="nil"/>
          <w:bottom w:val="single" w:sz="24" w:space="0" w:color="960443" w:themeColor="accent2"/>
          <w:right w:val="nil"/>
          <w:insideH w:val="nil"/>
          <w:insideV w:val="nil"/>
        </w:tcBorders>
        <w:shd w:val="clear" w:color="auto" w:fill="FFFFFF" w:themeFill="background1"/>
      </w:tcPr>
    </w:tblStylePr>
    <w:tblStylePr w:type="lastRow">
      <w:tblPr/>
      <w:tcPr>
        <w:tcBorders>
          <w:top w:val="single" w:sz="8" w:space="0" w:color="96044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60443" w:themeColor="accent2"/>
          <w:insideH w:val="nil"/>
          <w:insideV w:val="nil"/>
        </w:tcBorders>
        <w:shd w:val="clear" w:color="auto" w:fill="FFFFFF" w:themeFill="background1"/>
      </w:tcPr>
    </w:tblStylePr>
    <w:tblStylePr w:type="lastCol">
      <w:tblPr/>
      <w:tcPr>
        <w:tcBorders>
          <w:top w:val="nil"/>
          <w:left w:val="single" w:sz="8" w:space="0" w:color="96044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A9CD" w:themeFill="accent2" w:themeFillTint="3F"/>
      </w:tcPr>
    </w:tblStylePr>
    <w:tblStylePr w:type="band1Horz">
      <w:tblPr/>
      <w:tcPr>
        <w:tcBorders>
          <w:top w:val="nil"/>
          <w:bottom w:val="nil"/>
          <w:insideH w:val="nil"/>
          <w:insideV w:val="nil"/>
        </w:tcBorders>
        <w:shd w:val="clear" w:color="auto" w:fill="FCA9C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B054C" w:themeColor="accent3"/>
        <w:left w:val="single" w:sz="8" w:space="0" w:color="AB054C" w:themeColor="accent3"/>
        <w:bottom w:val="single" w:sz="8" w:space="0" w:color="AB054C" w:themeColor="accent3"/>
        <w:right w:val="single" w:sz="8" w:space="0" w:color="AB054C" w:themeColor="accent3"/>
      </w:tblBorders>
    </w:tblPr>
    <w:tblStylePr w:type="firstRow">
      <w:rPr>
        <w:sz w:val="24"/>
        <w:szCs w:val="24"/>
      </w:rPr>
      <w:tblPr/>
      <w:tcPr>
        <w:tcBorders>
          <w:top w:val="nil"/>
          <w:left w:val="nil"/>
          <w:bottom w:val="single" w:sz="24" w:space="0" w:color="AB054C" w:themeColor="accent3"/>
          <w:right w:val="nil"/>
          <w:insideH w:val="nil"/>
          <w:insideV w:val="nil"/>
        </w:tcBorders>
        <w:shd w:val="clear" w:color="auto" w:fill="FFFFFF" w:themeFill="background1"/>
      </w:tcPr>
    </w:tblStylePr>
    <w:tblStylePr w:type="lastRow">
      <w:tblPr/>
      <w:tcPr>
        <w:tcBorders>
          <w:top w:val="single" w:sz="8" w:space="0" w:color="AB054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B054C" w:themeColor="accent3"/>
          <w:insideH w:val="nil"/>
          <w:insideV w:val="nil"/>
        </w:tcBorders>
        <w:shd w:val="clear" w:color="auto" w:fill="FFFFFF" w:themeFill="background1"/>
      </w:tcPr>
    </w:tblStylePr>
    <w:tblStylePr w:type="lastCol">
      <w:tblPr/>
      <w:tcPr>
        <w:tcBorders>
          <w:top w:val="nil"/>
          <w:left w:val="single" w:sz="8" w:space="0" w:color="AB054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AED0" w:themeFill="accent3" w:themeFillTint="3F"/>
      </w:tcPr>
    </w:tblStylePr>
    <w:tblStylePr w:type="band1Horz">
      <w:tblPr/>
      <w:tcPr>
        <w:tcBorders>
          <w:top w:val="nil"/>
          <w:bottom w:val="nil"/>
          <w:insideH w:val="nil"/>
          <w:insideV w:val="nil"/>
        </w:tcBorders>
        <w:shd w:val="clear" w:color="auto" w:fill="FCAED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rPr>
        <w:sz w:val="24"/>
        <w:szCs w:val="24"/>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tblPr/>
      <w:tcPr>
        <w:tcBorders>
          <w:top w:val="single" w:sz="8" w:space="0" w:color="FFE7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7E7" w:themeColor="accent4"/>
          <w:insideH w:val="nil"/>
          <w:insideV w:val="nil"/>
        </w:tcBorders>
        <w:shd w:val="clear" w:color="auto" w:fill="FFFFFF" w:themeFill="background1"/>
      </w:tcPr>
    </w:tblStylePr>
    <w:tblStylePr w:type="lastCol">
      <w:tblPr/>
      <w:tcPr>
        <w:tcBorders>
          <w:top w:val="nil"/>
          <w:left w:val="single" w:sz="8" w:space="0" w:color="FFE7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top w:val="nil"/>
          <w:bottom w:val="nil"/>
          <w:insideH w:val="nil"/>
          <w:insideV w:val="nil"/>
        </w:tcBorders>
        <w:shd w:val="clear" w:color="auto" w:fill="FFF9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rPr>
        <w:sz w:val="24"/>
        <w:szCs w:val="24"/>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tblPr/>
      <w:tcPr>
        <w:tcBorders>
          <w:top w:val="single" w:sz="8" w:space="0" w:color="FEDA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DADD" w:themeColor="accent5"/>
          <w:insideH w:val="nil"/>
          <w:insideV w:val="nil"/>
        </w:tcBorders>
        <w:shd w:val="clear" w:color="auto" w:fill="FFFFFF" w:themeFill="background1"/>
      </w:tcPr>
    </w:tblStylePr>
    <w:tblStylePr w:type="lastCol">
      <w:tblPr/>
      <w:tcPr>
        <w:tcBorders>
          <w:top w:val="nil"/>
          <w:left w:val="single" w:sz="8" w:space="0" w:color="FEDA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top w:val="nil"/>
          <w:bottom w:val="nil"/>
          <w:insideH w:val="nil"/>
          <w:insideV w:val="nil"/>
        </w:tcBorders>
        <w:shd w:val="clear" w:color="auto" w:fill="FEF5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rPr>
        <w:sz w:val="24"/>
        <w:szCs w:val="24"/>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tblPr/>
      <w:tcPr>
        <w:tcBorders>
          <w:top w:val="single" w:sz="8" w:space="0" w:color="70001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0015" w:themeColor="accent6"/>
          <w:insideH w:val="nil"/>
          <w:insideV w:val="nil"/>
        </w:tcBorders>
        <w:shd w:val="clear" w:color="auto" w:fill="FFFFFF" w:themeFill="background1"/>
      </w:tcPr>
    </w:tblStylePr>
    <w:tblStylePr w:type="lastCol">
      <w:tblPr/>
      <w:tcPr>
        <w:tcBorders>
          <w:top w:val="nil"/>
          <w:left w:val="single" w:sz="8" w:space="0" w:color="70001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top w:val="nil"/>
          <w:bottom w:val="nil"/>
          <w:insideH w:val="nil"/>
          <w:insideV w:val="nil"/>
        </w:tcBorders>
        <w:shd w:val="clear" w:color="auto" w:fill="FF9CA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tblBorders>
    </w:tblPr>
    <w:tblStylePr w:type="firstRow">
      <w:pPr>
        <w:spacing w:before="0" w:after="0" w:line="240" w:lineRule="auto"/>
      </w:pPr>
      <w:rPr>
        <w:b/>
        <w:bCs/>
        <w:color w:val="FFFFFF" w:themeColor="background1"/>
      </w:rPr>
      <w:tblPr/>
      <w:tcPr>
        <w:tc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shd w:val="clear" w:color="auto" w:fill="FFFFFF" w:themeFill="text1"/>
      </w:tcPr>
    </w:tblStylePr>
    <w:tblStylePr w:type="lastRow">
      <w:pPr>
        <w:spacing w:before="0" w:after="0" w:line="240" w:lineRule="auto"/>
      </w:pPr>
      <w:rPr>
        <w:b/>
        <w:bCs/>
      </w:rPr>
      <w:tblPr/>
      <w:tcPr>
        <w:tcBorders>
          <w:top w:val="double" w:sz="6"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tcPr>
    </w:tblStylePr>
    <w:tblStylePr w:type="firstCol">
      <w:rPr>
        <w:b/>
        <w:bCs/>
      </w:rPr>
    </w:tblStylePr>
    <w:tblStylePr w:type="lastCol">
      <w:rPr>
        <w:b/>
        <w:bCs/>
      </w:rPr>
    </w:tblStylePr>
    <w:tblStylePr w:type="band1Vert">
      <w:tblPr/>
      <w:tcPr>
        <w:shd w:val="clear" w:color="auto" w:fill="FFFFFF" w:themeFill="text1" w:themeFillTint="3F"/>
      </w:tcPr>
    </w:tblStylePr>
    <w:tblStylePr w:type="band1Horz">
      <w:tblPr/>
      <w:tcPr>
        <w:tcBorders>
          <w:insideH w:val="nil"/>
          <w:insideV w:val="nil"/>
        </w:tcBorders>
        <w:shd w:val="clear" w:color="auto" w:fill="FFFFFF"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pPr>
    <w:tblPr>
      <w:tblStyleRowBandSize w:val="1"/>
      <w:tblStyleColBandSize w:val="1"/>
      <w:tblBorders>
        <w:top w:val="single" w:sz="8" w:space="0" w:color="E7004D" w:themeColor="accent1" w:themeTint="BF"/>
        <w:left w:val="single" w:sz="8" w:space="0" w:color="E7004D" w:themeColor="accent1" w:themeTint="BF"/>
        <w:bottom w:val="single" w:sz="8" w:space="0" w:color="E7004D" w:themeColor="accent1" w:themeTint="BF"/>
        <w:right w:val="single" w:sz="8" w:space="0" w:color="E7004D" w:themeColor="accent1" w:themeTint="BF"/>
        <w:insideH w:val="single" w:sz="8" w:space="0" w:color="E7004D" w:themeColor="accent1" w:themeTint="BF"/>
      </w:tblBorders>
    </w:tblPr>
    <w:tblStylePr w:type="firstRow">
      <w:pPr>
        <w:spacing w:before="0" w:after="0" w:line="240" w:lineRule="auto"/>
      </w:pPr>
      <w:rPr>
        <w:b/>
        <w:bCs/>
        <w:color w:val="FFFFFF" w:themeColor="background1"/>
      </w:rPr>
      <w:tblPr/>
      <w:tcPr>
        <w:tcBorders>
          <w:top w:val="single" w:sz="8" w:space="0" w:color="E7004D" w:themeColor="accent1" w:themeTint="BF"/>
          <w:left w:val="single" w:sz="8" w:space="0" w:color="E7004D" w:themeColor="accent1" w:themeTint="BF"/>
          <w:bottom w:val="single" w:sz="8" w:space="0" w:color="E7004D" w:themeColor="accent1" w:themeTint="BF"/>
          <w:right w:val="single" w:sz="8" w:space="0" w:color="E7004D" w:themeColor="accent1" w:themeTint="BF"/>
          <w:insideH w:val="nil"/>
          <w:insideV w:val="nil"/>
        </w:tcBorders>
        <w:shd w:val="clear" w:color="auto" w:fill="8A002E" w:themeFill="accent1"/>
      </w:tcPr>
    </w:tblStylePr>
    <w:tblStylePr w:type="lastRow">
      <w:pPr>
        <w:spacing w:before="0" w:after="0" w:line="240" w:lineRule="auto"/>
      </w:pPr>
      <w:rPr>
        <w:b/>
        <w:bCs/>
      </w:rPr>
      <w:tblPr/>
      <w:tcPr>
        <w:tcBorders>
          <w:top w:val="double" w:sz="6" w:space="0" w:color="E7004D" w:themeColor="accent1" w:themeTint="BF"/>
          <w:left w:val="single" w:sz="8" w:space="0" w:color="E7004D" w:themeColor="accent1" w:themeTint="BF"/>
          <w:bottom w:val="single" w:sz="8" w:space="0" w:color="E7004D" w:themeColor="accent1" w:themeTint="BF"/>
          <w:right w:val="single" w:sz="8" w:space="0" w:color="E7004D"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A3C1" w:themeFill="accent1" w:themeFillTint="3F"/>
      </w:tcPr>
    </w:tblStylePr>
    <w:tblStylePr w:type="band1Horz">
      <w:tblPr/>
      <w:tcPr>
        <w:tcBorders>
          <w:insideH w:val="nil"/>
          <w:insideV w:val="nil"/>
        </w:tcBorders>
        <w:shd w:val="clear" w:color="auto" w:fill="FFA3C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pPr>
    <w:tblPr>
      <w:tblStyleRowBandSize w:val="1"/>
      <w:tblStyleColBandSize w:val="1"/>
      <w:tblBorders>
        <w:top w:val="single" w:sz="8" w:space="0" w:color="EC0669" w:themeColor="accent2" w:themeTint="BF"/>
        <w:left w:val="single" w:sz="8" w:space="0" w:color="EC0669" w:themeColor="accent2" w:themeTint="BF"/>
        <w:bottom w:val="single" w:sz="8" w:space="0" w:color="EC0669" w:themeColor="accent2" w:themeTint="BF"/>
        <w:right w:val="single" w:sz="8" w:space="0" w:color="EC0669" w:themeColor="accent2" w:themeTint="BF"/>
        <w:insideH w:val="single" w:sz="8" w:space="0" w:color="EC0669" w:themeColor="accent2" w:themeTint="BF"/>
      </w:tblBorders>
    </w:tblPr>
    <w:tblStylePr w:type="firstRow">
      <w:pPr>
        <w:spacing w:before="0" w:after="0" w:line="240" w:lineRule="auto"/>
      </w:pPr>
      <w:rPr>
        <w:b/>
        <w:bCs/>
        <w:color w:val="FFFFFF" w:themeColor="background1"/>
      </w:rPr>
      <w:tblPr/>
      <w:tcPr>
        <w:tcBorders>
          <w:top w:val="single" w:sz="8" w:space="0" w:color="EC0669" w:themeColor="accent2" w:themeTint="BF"/>
          <w:left w:val="single" w:sz="8" w:space="0" w:color="EC0669" w:themeColor="accent2" w:themeTint="BF"/>
          <w:bottom w:val="single" w:sz="8" w:space="0" w:color="EC0669" w:themeColor="accent2" w:themeTint="BF"/>
          <w:right w:val="single" w:sz="8" w:space="0" w:color="EC0669" w:themeColor="accent2" w:themeTint="BF"/>
          <w:insideH w:val="nil"/>
          <w:insideV w:val="nil"/>
        </w:tcBorders>
        <w:shd w:val="clear" w:color="auto" w:fill="960443" w:themeFill="accent2"/>
      </w:tcPr>
    </w:tblStylePr>
    <w:tblStylePr w:type="lastRow">
      <w:pPr>
        <w:spacing w:before="0" w:after="0" w:line="240" w:lineRule="auto"/>
      </w:pPr>
      <w:rPr>
        <w:b/>
        <w:bCs/>
      </w:rPr>
      <w:tblPr/>
      <w:tcPr>
        <w:tcBorders>
          <w:top w:val="double" w:sz="6" w:space="0" w:color="EC0669" w:themeColor="accent2" w:themeTint="BF"/>
          <w:left w:val="single" w:sz="8" w:space="0" w:color="EC0669" w:themeColor="accent2" w:themeTint="BF"/>
          <w:bottom w:val="single" w:sz="8" w:space="0" w:color="EC0669" w:themeColor="accent2" w:themeTint="BF"/>
          <w:right w:val="single" w:sz="8" w:space="0" w:color="EC0669" w:themeColor="accent2" w:themeTint="BF"/>
          <w:insideH w:val="nil"/>
          <w:insideV w:val="nil"/>
        </w:tcBorders>
      </w:tcPr>
    </w:tblStylePr>
    <w:tblStylePr w:type="firstCol">
      <w:rPr>
        <w:b/>
        <w:bCs/>
      </w:rPr>
    </w:tblStylePr>
    <w:tblStylePr w:type="lastCol">
      <w:rPr>
        <w:b/>
        <w:bCs/>
      </w:rPr>
    </w:tblStylePr>
    <w:tblStylePr w:type="band1Vert">
      <w:tblPr/>
      <w:tcPr>
        <w:shd w:val="clear" w:color="auto" w:fill="FCA9CD" w:themeFill="accent2" w:themeFillTint="3F"/>
      </w:tcPr>
    </w:tblStylePr>
    <w:tblStylePr w:type="band1Horz">
      <w:tblPr/>
      <w:tcPr>
        <w:tcBorders>
          <w:insideH w:val="nil"/>
          <w:insideV w:val="nil"/>
        </w:tcBorders>
        <w:shd w:val="clear" w:color="auto" w:fill="FCA9C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pPr>
    <w:tblPr>
      <w:tblStyleRowBandSize w:val="1"/>
      <w:tblStyleColBandSize w:val="1"/>
      <w:tblBorders>
        <w:top w:val="single" w:sz="8" w:space="0" w:color="F80B70" w:themeColor="accent3" w:themeTint="BF"/>
        <w:left w:val="single" w:sz="8" w:space="0" w:color="F80B70" w:themeColor="accent3" w:themeTint="BF"/>
        <w:bottom w:val="single" w:sz="8" w:space="0" w:color="F80B70" w:themeColor="accent3" w:themeTint="BF"/>
        <w:right w:val="single" w:sz="8" w:space="0" w:color="F80B70" w:themeColor="accent3" w:themeTint="BF"/>
        <w:insideH w:val="single" w:sz="8" w:space="0" w:color="F80B70" w:themeColor="accent3" w:themeTint="BF"/>
      </w:tblBorders>
    </w:tblPr>
    <w:tblStylePr w:type="firstRow">
      <w:pPr>
        <w:spacing w:before="0" w:after="0" w:line="240" w:lineRule="auto"/>
      </w:pPr>
      <w:rPr>
        <w:b/>
        <w:bCs/>
        <w:color w:val="FFFFFF" w:themeColor="background1"/>
      </w:rPr>
      <w:tblPr/>
      <w:tcPr>
        <w:tcBorders>
          <w:top w:val="single" w:sz="8" w:space="0" w:color="F80B70" w:themeColor="accent3" w:themeTint="BF"/>
          <w:left w:val="single" w:sz="8" w:space="0" w:color="F80B70" w:themeColor="accent3" w:themeTint="BF"/>
          <w:bottom w:val="single" w:sz="8" w:space="0" w:color="F80B70" w:themeColor="accent3" w:themeTint="BF"/>
          <w:right w:val="single" w:sz="8" w:space="0" w:color="F80B70" w:themeColor="accent3" w:themeTint="BF"/>
          <w:insideH w:val="nil"/>
          <w:insideV w:val="nil"/>
        </w:tcBorders>
        <w:shd w:val="clear" w:color="auto" w:fill="AB054C" w:themeFill="accent3"/>
      </w:tcPr>
    </w:tblStylePr>
    <w:tblStylePr w:type="lastRow">
      <w:pPr>
        <w:spacing w:before="0" w:after="0" w:line="240" w:lineRule="auto"/>
      </w:pPr>
      <w:rPr>
        <w:b/>
        <w:bCs/>
      </w:rPr>
      <w:tblPr/>
      <w:tcPr>
        <w:tcBorders>
          <w:top w:val="double" w:sz="6" w:space="0" w:color="F80B70" w:themeColor="accent3" w:themeTint="BF"/>
          <w:left w:val="single" w:sz="8" w:space="0" w:color="F80B70" w:themeColor="accent3" w:themeTint="BF"/>
          <w:bottom w:val="single" w:sz="8" w:space="0" w:color="F80B70" w:themeColor="accent3" w:themeTint="BF"/>
          <w:right w:val="single" w:sz="8" w:space="0" w:color="F80B7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CAED0" w:themeFill="accent3" w:themeFillTint="3F"/>
      </w:tcPr>
    </w:tblStylePr>
    <w:tblStylePr w:type="band1Horz">
      <w:tblPr/>
      <w:tcPr>
        <w:tcBorders>
          <w:insideH w:val="nil"/>
          <w:insideV w:val="nil"/>
        </w:tcBorders>
        <w:shd w:val="clear" w:color="auto" w:fill="FCAED0"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tblBorders>
    </w:tblPr>
    <w:tblStylePr w:type="firstRow">
      <w:pPr>
        <w:spacing w:before="0" w:after="0" w:line="240" w:lineRule="auto"/>
      </w:pPr>
      <w:rPr>
        <w:b/>
        <w:bCs/>
        <w:color w:val="FFFFFF" w:themeColor="background1"/>
      </w:rPr>
      <w:tblPr/>
      <w:tcPr>
        <w:tc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shd w:val="clear" w:color="auto" w:fill="FFE7E7" w:themeFill="accent4"/>
      </w:tcPr>
    </w:tblStylePr>
    <w:tblStylePr w:type="lastRow">
      <w:pPr>
        <w:spacing w:before="0" w:after="0" w:line="240" w:lineRule="auto"/>
      </w:pPr>
      <w:rPr>
        <w:b/>
        <w:bCs/>
      </w:rPr>
      <w:tblPr/>
      <w:tcPr>
        <w:tcBorders>
          <w:top w:val="double" w:sz="6"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F9F9" w:themeFill="accent4" w:themeFillTint="3F"/>
      </w:tcPr>
    </w:tblStylePr>
    <w:tblStylePr w:type="band1Horz">
      <w:tblPr/>
      <w:tcPr>
        <w:tcBorders>
          <w:insideH w:val="nil"/>
          <w:insideV w:val="nil"/>
        </w:tcBorders>
        <w:shd w:val="clear" w:color="auto" w:fill="FFF9F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tblBorders>
    </w:tblPr>
    <w:tblStylePr w:type="firstRow">
      <w:pPr>
        <w:spacing w:before="0" w:after="0" w:line="240" w:lineRule="auto"/>
      </w:pPr>
      <w:rPr>
        <w:b/>
        <w:bCs/>
        <w:color w:val="FFFFFF" w:themeColor="background1"/>
      </w:rPr>
      <w:tblPr/>
      <w:tcPr>
        <w:tc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shd w:val="clear" w:color="auto" w:fill="FEDADD" w:themeFill="accent5"/>
      </w:tcPr>
    </w:tblStylePr>
    <w:tblStylePr w:type="lastRow">
      <w:pPr>
        <w:spacing w:before="0" w:after="0" w:line="240" w:lineRule="auto"/>
      </w:pPr>
      <w:rPr>
        <w:b/>
        <w:bCs/>
      </w:rPr>
      <w:tblPr/>
      <w:tcPr>
        <w:tcBorders>
          <w:top w:val="double" w:sz="6"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F5F6" w:themeFill="accent5" w:themeFillTint="3F"/>
      </w:tcPr>
    </w:tblStylePr>
    <w:tblStylePr w:type="band1Horz">
      <w:tblPr/>
      <w:tcPr>
        <w:tcBorders>
          <w:insideH w:val="nil"/>
          <w:insideV w:val="nil"/>
        </w:tcBorders>
        <w:shd w:val="clear" w:color="auto" w:fill="FEF5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tblBorders>
    </w:tblPr>
    <w:tblStylePr w:type="firstRow">
      <w:pPr>
        <w:spacing w:before="0" w:after="0" w:line="240" w:lineRule="auto"/>
      </w:pPr>
      <w:rPr>
        <w:b/>
        <w:bCs/>
        <w:color w:val="FFFFFF" w:themeColor="background1"/>
      </w:rPr>
      <w:tblPr/>
      <w:tcPr>
        <w:tc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shd w:val="clear" w:color="auto" w:fill="700015" w:themeFill="accent6"/>
      </w:tcPr>
    </w:tblStylePr>
    <w:tblStylePr w:type="lastRow">
      <w:pPr>
        <w:spacing w:before="0" w:after="0" w:line="240" w:lineRule="auto"/>
      </w:pPr>
      <w:rPr>
        <w:b/>
        <w:bCs/>
      </w:rPr>
      <w:tblPr/>
      <w:tcPr>
        <w:tcBorders>
          <w:top w:val="double" w:sz="6"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9CAE" w:themeFill="accent6" w:themeFillTint="3F"/>
      </w:tcPr>
    </w:tblStylePr>
    <w:tblStylePr w:type="band1Horz">
      <w:tblPr/>
      <w:tcPr>
        <w:tcBorders>
          <w:insideH w:val="nil"/>
          <w:insideV w:val="nil"/>
        </w:tcBorders>
        <w:shd w:val="clear" w:color="auto" w:fill="FF9CA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FF"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FFFF" w:themeFill="text1"/>
      </w:tcPr>
    </w:tblStylePr>
    <w:tblStylePr w:type="lastCol">
      <w:rPr>
        <w:b/>
        <w:bCs/>
        <w:color w:val="FFFFFF" w:themeColor="background1"/>
      </w:rPr>
      <w:tblPr/>
      <w:tcPr>
        <w:tcBorders>
          <w:left w:val="nil"/>
          <w:right w:val="nil"/>
          <w:insideH w:val="nil"/>
          <w:insideV w:val="nil"/>
        </w:tcBorders>
        <w:shd w:val="clear" w:color="auto" w:fill="FFFFFF"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002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002E" w:themeFill="accent1"/>
      </w:tcPr>
    </w:tblStylePr>
    <w:tblStylePr w:type="lastCol">
      <w:rPr>
        <w:b/>
        <w:bCs/>
        <w:color w:val="FFFFFF" w:themeColor="background1"/>
      </w:rPr>
      <w:tblPr/>
      <w:tcPr>
        <w:tcBorders>
          <w:left w:val="nil"/>
          <w:right w:val="nil"/>
          <w:insideH w:val="nil"/>
          <w:insideV w:val="nil"/>
        </w:tcBorders>
        <w:shd w:val="clear" w:color="auto" w:fill="8A002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6044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60443" w:themeFill="accent2"/>
      </w:tcPr>
    </w:tblStylePr>
    <w:tblStylePr w:type="lastCol">
      <w:rPr>
        <w:b/>
        <w:bCs/>
        <w:color w:val="FFFFFF" w:themeColor="background1"/>
      </w:rPr>
      <w:tblPr/>
      <w:tcPr>
        <w:tcBorders>
          <w:left w:val="nil"/>
          <w:right w:val="nil"/>
          <w:insideH w:val="nil"/>
          <w:insideV w:val="nil"/>
        </w:tcBorders>
        <w:shd w:val="clear" w:color="auto" w:fill="96044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B054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B054C" w:themeFill="accent3"/>
      </w:tcPr>
    </w:tblStylePr>
    <w:tblStylePr w:type="lastCol">
      <w:rPr>
        <w:b/>
        <w:bCs/>
        <w:color w:val="FFFFFF" w:themeColor="background1"/>
      </w:rPr>
      <w:tblPr/>
      <w:tcPr>
        <w:tcBorders>
          <w:left w:val="nil"/>
          <w:right w:val="nil"/>
          <w:insideH w:val="nil"/>
          <w:insideV w:val="nil"/>
        </w:tcBorders>
        <w:shd w:val="clear" w:color="auto" w:fill="AB054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7E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7E7" w:themeFill="accent4"/>
      </w:tcPr>
    </w:tblStylePr>
    <w:tblStylePr w:type="lastCol">
      <w:rPr>
        <w:b/>
        <w:bCs/>
        <w:color w:val="FFFFFF" w:themeColor="background1"/>
      </w:rPr>
      <w:tblPr/>
      <w:tcPr>
        <w:tcBorders>
          <w:left w:val="nil"/>
          <w:right w:val="nil"/>
          <w:insideH w:val="nil"/>
          <w:insideV w:val="nil"/>
        </w:tcBorders>
        <w:shd w:val="clear" w:color="auto" w:fill="FFE7E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DA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DADD" w:themeFill="accent5"/>
      </w:tcPr>
    </w:tblStylePr>
    <w:tblStylePr w:type="lastCol">
      <w:rPr>
        <w:b/>
        <w:bCs/>
        <w:color w:val="FFFFFF" w:themeColor="background1"/>
      </w:rPr>
      <w:tblPr/>
      <w:tcPr>
        <w:tcBorders>
          <w:left w:val="nil"/>
          <w:right w:val="nil"/>
          <w:insideH w:val="nil"/>
          <w:insideV w:val="nil"/>
        </w:tcBorders>
        <w:shd w:val="clear" w:color="auto" w:fill="FEDA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001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0015" w:themeFill="accent6"/>
      </w:tcPr>
    </w:tblStylePr>
    <w:tblStylePr w:type="lastCol">
      <w:rPr>
        <w:b/>
        <w:bCs/>
        <w:color w:val="FFFFFF" w:themeColor="background1"/>
      </w:rPr>
      <w:tblPr/>
      <w:tcPr>
        <w:tcBorders>
          <w:left w:val="nil"/>
          <w:right w:val="nil"/>
          <w:insideH w:val="nil"/>
          <w:insideV w:val="nil"/>
        </w:tcBorders>
        <w:shd w:val="clear" w:color="auto" w:fill="70001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semiHidden/>
    <w:unhideWhenUsed/>
    <w:rPr>
      <w:rFonts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1"/>
    <w:unhideWhenUsed/>
    <w:qFormat/>
    <w:rsid w:val="009A5A23"/>
    <w:rPr>
      <w:rFonts w:asciiTheme="majorHAnsi" w:hAnsiTheme="majorHAnsi"/>
      <w:b/>
      <w:bCs/>
      <w:i/>
      <w:sz w:val="28"/>
    </w:rPr>
  </w:style>
  <w:style w:type="paragraph" w:styleId="Subtitle">
    <w:name w:val="Subtitle"/>
    <w:basedOn w:val="Normal"/>
    <w:next w:val="Normal"/>
    <w:link w:val="SubtitleChar"/>
    <w:uiPriority w:val="19"/>
    <w:unhideWhenUsed/>
    <w:qFormat/>
    <w:pPr>
      <w:numPr>
        <w:ilvl w:val="1"/>
      </w:numPr>
      <w:ind w:left="144" w:right="720"/>
    </w:pPr>
    <w:rPr>
      <w:rFonts w:asciiTheme="majorHAnsi" w:eastAsiaTheme="majorEastAsia" w:hAnsiTheme="majorHAnsi" w:cstheme="majorBidi"/>
      <w:caps/>
      <w:color w:val="8A002E" w:themeColor="accent1"/>
      <w:sz w:val="64"/>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8A002E" w:themeColor="accent1"/>
      <w:kern w:val="20"/>
      <w:sz w:val="64"/>
    </w:rPr>
  </w:style>
  <w:style w:type="character" w:styleId="SubtleEmphasis">
    <w:name w:val="Subtle Emphasis"/>
    <w:basedOn w:val="DefaultParagraphFont"/>
    <w:uiPriority w:val="19"/>
    <w:semiHidden/>
    <w:unhideWhenUsed/>
    <w:rPr>
      <w:i/>
      <w:iCs/>
      <w:color w:val="FFFFFF" w:themeColor="text1" w:themeTint="7F"/>
    </w:rPr>
  </w:style>
  <w:style w:type="character" w:styleId="SubtleReference">
    <w:name w:val="Subtle Reference"/>
    <w:basedOn w:val="DefaultParagraphFont"/>
    <w:uiPriority w:val="31"/>
    <w:semiHidden/>
    <w:unhideWhenUsed/>
    <w:rPr>
      <w:smallCaps/>
      <w:color w:val="960443"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8A002E" w:themeColor="accent1"/>
        <w:left w:val="single" w:sz="4" w:space="5" w:color="8A002E" w:themeColor="accent1"/>
        <w:bottom w:val="single" w:sz="4" w:space="10" w:color="8A002E" w:themeColor="accent1"/>
        <w:right w:val="single" w:sz="4" w:space="5" w:color="8A002E" w:themeColor="accent1"/>
      </w:pBdr>
      <w:shd w:val="clear" w:color="auto" w:fill="8A002E"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8A002E" w:themeFill="accent1"/>
      <w14:ligatures w14:val="standardContextual"/>
    </w:rPr>
  </w:style>
  <w:style w:type="paragraph" w:styleId="TOAHeading">
    <w:name w:val="toa heading"/>
    <w:basedOn w:val="Normal"/>
    <w:next w:val="Normal"/>
    <w:uiPriority w:val="99"/>
    <w:semiHidden/>
    <w:unhideWhenUsed/>
    <w:rPr>
      <w:rFonts w:asciiTheme="majorHAnsi" w:eastAsiaTheme="majorEastAsia" w:hAnsiTheme="majorHAnsi" w:cstheme="majorBidi"/>
      <w:b/>
      <w:bCs/>
      <w:sz w:val="24"/>
    </w:rPr>
  </w:style>
  <w:style w:type="paragraph" w:styleId="TOC1">
    <w:name w:val="toc 1"/>
    <w:basedOn w:val="Normal"/>
    <w:next w:val="Normal"/>
    <w:link w:val="TOC1Char"/>
    <w:autoRedefine/>
    <w:uiPriority w:val="39"/>
    <w:unhideWhenUsed/>
    <w:qFormat/>
    <w:rsid w:val="00D53180"/>
    <w:pPr>
      <w:tabs>
        <w:tab w:val="right" w:leader="dot" w:pos="9962"/>
      </w:tabs>
    </w:pPr>
    <w:rPr>
      <w:b/>
      <w:bCs/>
      <w:sz w:val="24"/>
    </w:rPr>
  </w:style>
  <w:style w:type="paragraph" w:styleId="TOC2">
    <w:name w:val="toc 2"/>
    <w:basedOn w:val="Normal"/>
    <w:next w:val="Normal"/>
    <w:autoRedefine/>
    <w:uiPriority w:val="39"/>
    <w:unhideWhenUsed/>
    <w:rsid w:val="00E04C32"/>
    <w:pPr>
      <w:tabs>
        <w:tab w:val="right" w:leader="dot" w:pos="9923"/>
      </w:tabs>
      <w:spacing w:before="0" w:after="0"/>
    </w:pPr>
    <w:rPr>
      <w:noProof/>
    </w:rPr>
  </w:style>
  <w:style w:type="paragraph" w:styleId="TOC3">
    <w:name w:val="toc 3"/>
    <w:basedOn w:val="Normal"/>
    <w:next w:val="Normal"/>
    <w:autoRedefine/>
    <w:uiPriority w:val="39"/>
    <w:unhideWhenUsed/>
    <w:rsid w:val="00B122E9"/>
    <w:pPr>
      <w:tabs>
        <w:tab w:val="right" w:leader="dot" w:pos="9962"/>
      </w:tabs>
      <w:spacing w:before="0" w:after="0"/>
      <w:ind w:left="400"/>
    </w:pPr>
    <w:rPr>
      <w:i/>
      <w:iCs/>
    </w:rPr>
  </w:style>
  <w:style w:type="paragraph" w:styleId="TOC4">
    <w:name w:val="toc 4"/>
    <w:basedOn w:val="Normal"/>
    <w:next w:val="Normal"/>
    <w:autoRedefine/>
    <w:uiPriority w:val="39"/>
    <w:unhideWhenUsed/>
    <w:qFormat/>
    <w:rsid w:val="00FE3BA8"/>
    <w:pPr>
      <w:spacing w:before="0" w:after="0"/>
      <w:ind w:left="600"/>
    </w:pPr>
    <w:rPr>
      <w:szCs w:val="18"/>
    </w:rPr>
  </w:style>
  <w:style w:type="paragraph" w:styleId="TOC5">
    <w:name w:val="toc 5"/>
    <w:basedOn w:val="Normal"/>
    <w:next w:val="Normal"/>
    <w:autoRedefine/>
    <w:uiPriority w:val="39"/>
    <w:unhideWhenUsed/>
    <w:pPr>
      <w:spacing w:before="0" w:after="0"/>
      <w:ind w:left="800"/>
    </w:pPr>
    <w:rPr>
      <w:sz w:val="18"/>
      <w:szCs w:val="18"/>
    </w:rPr>
  </w:style>
  <w:style w:type="paragraph" w:styleId="TOC6">
    <w:name w:val="toc 6"/>
    <w:basedOn w:val="Normal"/>
    <w:next w:val="Normal"/>
    <w:autoRedefine/>
    <w:uiPriority w:val="39"/>
    <w:unhideWhenUsed/>
    <w:pPr>
      <w:spacing w:before="0" w:after="0"/>
      <w:ind w:left="1000"/>
    </w:pPr>
    <w:rPr>
      <w:sz w:val="18"/>
      <w:szCs w:val="18"/>
    </w:rPr>
  </w:style>
  <w:style w:type="paragraph" w:styleId="TOC7">
    <w:name w:val="toc 7"/>
    <w:basedOn w:val="Normal"/>
    <w:next w:val="Normal"/>
    <w:autoRedefine/>
    <w:uiPriority w:val="39"/>
    <w:unhideWhenUsed/>
    <w:pPr>
      <w:spacing w:before="0" w:after="0"/>
      <w:ind w:left="1200"/>
    </w:pPr>
    <w:rPr>
      <w:sz w:val="18"/>
      <w:szCs w:val="18"/>
    </w:rPr>
  </w:style>
  <w:style w:type="paragraph" w:styleId="TOC8">
    <w:name w:val="toc 8"/>
    <w:basedOn w:val="Normal"/>
    <w:next w:val="Normal"/>
    <w:autoRedefine/>
    <w:uiPriority w:val="39"/>
    <w:unhideWhenUsed/>
    <w:pPr>
      <w:spacing w:before="0" w:after="0"/>
      <w:ind w:left="1400"/>
    </w:pPr>
    <w:rPr>
      <w:sz w:val="18"/>
      <w:szCs w:val="18"/>
    </w:rPr>
  </w:style>
  <w:style w:type="paragraph" w:styleId="TOC9">
    <w:name w:val="toc 9"/>
    <w:basedOn w:val="Normal"/>
    <w:next w:val="Normal"/>
    <w:autoRedefine/>
    <w:uiPriority w:val="39"/>
    <w:unhideWhenUsed/>
    <w:pPr>
      <w:spacing w:before="0" w:after="0"/>
      <w:ind w:left="1600"/>
    </w:pPr>
    <w:rPr>
      <w:sz w:val="18"/>
      <w:szCs w:val="18"/>
    </w:rPr>
  </w:style>
  <w:style w:type="paragraph" w:styleId="TOCHeading">
    <w:name w:val="TOC Heading"/>
    <w:basedOn w:val="Heading1"/>
    <w:next w:val="Normal"/>
    <w:uiPriority w:val="39"/>
    <w:unhideWhenUsed/>
    <w:qFormat/>
    <w:rsid w:val="008F1BA6"/>
    <w:pPr>
      <w:outlineLvl w:val="9"/>
    </w:pPr>
  </w:style>
  <w:style w:type="character" w:customStyle="1" w:styleId="NoSpacingChar">
    <w:name w:val="No Spacing Char"/>
    <w:basedOn w:val="DefaultParagraphFont"/>
    <w:link w:val="NoSpacing"/>
    <w:uiPriority w:val="1"/>
  </w:style>
  <w:style w:type="paragraph" w:customStyle="1" w:styleId="TableHeading">
    <w:name w:val="Table Heading"/>
    <w:basedOn w:val="Normal"/>
    <w:uiPriority w:val="1"/>
    <w:qFormat/>
    <w:pPr>
      <w:keepNext/>
      <w:pBdr>
        <w:top w:val="single" w:sz="4" w:space="1" w:color="8A002E" w:themeColor="accent1"/>
        <w:left w:val="single" w:sz="4" w:space="6" w:color="8A002E" w:themeColor="accent1"/>
        <w:bottom w:val="single" w:sz="4" w:space="1" w:color="8A002E" w:themeColor="accent1"/>
        <w:right w:val="single" w:sz="4" w:space="6" w:color="8A002E" w:themeColor="accent1"/>
      </w:pBdr>
      <w:shd w:val="clear" w:color="auto" w:fill="8A002E"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leTextDecimal">
    <w:name w:val="Table Text Decimal"/>
    <w:basedOn w:val="Normal"/>
    <w:uiPriority w:val="1"/>
    <w:qFormat/>
    <w:pPr>
      <w:tabs>
        <w:tab w:val="decimal" w:pos="1252"/>
      </w:tabs>
      <w:spacing w:before="60" w:after="60"/>
      <w:ind w:left="144" w:right="144"/>
    </w:pPr>
  </w:style>
  <w:style w:type="table" w:customStyle="1" w:styleId="FinancialTable">
    <w:name w:val="Financial Table"/>
    <w:basedOn w:val="TableNormal"/>
    <w:uiPriority w:val="99"/>
    <w:pPr>
      <w:spacing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8A002E" w:themeColor="accent1"/>
        <w:sz w:val="22"/>
      </w:rPr>
    </w:tblStylePr>
    <w:tblStylePr w:type="firstCol">
      <w:rPr>
        <w:b/>
      </w:rPr>
    </w:tblStylePr>
  </w:style>
  <w:style w:type="numbering" w:customStyle="1" w:styleId="AnnualReport">
    <w:name w:val="Annual Report"/>
    <w:uiPriority w:val="99"/>
    <w:pPr>
      <w:numPr>
        <w:numId w:val="6"/>
      </w:numPr>
    </w:pPr>
  </w:style>
  <w:style w:type="paragraph" w:customStyle="1" w:styleId="Abstract">
    <w:name w:val="Abstract"/>
    <w:basedOn w:val="Normal"/>
    <w:uiPriority w:val="19"/>
    <w:qFormat/>
    <w:pPr>
      <w:spacing w:before="360" w:after="600"/>
      <w:ind w:left="144" w:right="144"/>
    </w:pPr>
    <w:rPr>
      <w:i/>
      <w:iCs/>
      <w:color w:val="FFFFFF" w:themeColor="text1" w:themeTint="80"/>
      <w:sz w:val="28"/>
    </w:rPr>
  </w:style>
  <w:style w:type="paragraph" w:customStyle="1" w:styleId="TableText">
    <w:name w:val="Table Text"/>
    <w:basedOn w:val="Normal"/>
    <w:uiPriority w:val="9"/>
    <w:qFormat/>
    <w:pPr>
      <w:spacing w:before="60" w:after="60"/>
      <w:ind w:left="144" w:right="144"/>
    </w:pPr>
  </w:style>
  <w:style w:type="paragraph" w:customStyle="1" w:styleId="TableReverseHeading">
    <w:name w:val="Table Reverse Heading"/>
    <w:basedOn w:val="Normal"/>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19"/>
    <w:qFormat/>
    <w:pPr>
      <w:pBdr>
        <w:top w:val="single" w:sz="2" w:space="2" w:color="8A002E" w:themeColor="accent1"/>
        <w:left w:val="single" w:sz="2" w:space="6" w:color="8A002E" w:themeColor="accent1"/>
        <w:bottom w:val="single" w:sz="2" w:space="2" w:color="8A002E" w:themeColor="accent1"/>
        <w:right w:val="single" w:sz="2" w:space="6" w:color="8A002E" w:themeColor="accent1"/>
      </w:pBdr>
      <w:shd w:val="clear" w:color="auto" w:fill="8A002E" w:themeFill="accent1"/>
      <w:spacing w:after="0"/>
      <w:ind w:left="-360" w:right="-360"/>
    </w:pPr>
    <w:rPr>
      <w:rFonts w:asciiTheme="majorHAnsi" w:eastAsiaTheme="majorEastAsia" w:hAnsiTheme="majorHAnsi" w:cstheme="majorBidi"/>
      <w:caps/>
      <w:color w:val="FFFFFF" w:themeColor="background1"/>
      <w:sz w:val="48"/>
    </w:rPr>
  </w:style>
  <w:style w:type="paragraph" w:customStyle="1" w:styleId="ANR4">
    <w:name w:val="ANR4"/>
    <w:basedOn w:val="Normal"/>
    <w:link w:val="ANR4Char"/>
    <w:rsid w:val="000E59B7"/>
    <w:pPr>
      <w:spacing w:before="0" w:after="0"/>
    </w:pPr>
    <w:rPr>
      <w:rFonts w:eastAsia="Calibri"/>
      <w:b/>
      <w:kern w:val="0"/>
      <w:szCs w:val="22"/>
      <w:lang w:val="en-AU" w:eastAsia="en-US"/>
    </w:rPr>
  </w:style>
  <w:style w:type="character" w:customStyle="1" w:styleId="ANR4Char">
    <w:name w:val="ANR4 Char"/>
    <w:link w:val="ANR4"/>
    <w:rsid w:val="000E59B7"/>
    <w:rPr>
      <w:rFonts w:ascii="Arial" w:eastAsia="Calibri" w:hAnsi="Arial" w:cs="Arial"/>
      <w:b/>
      <w:color w:val="auto"/>
      <w:sz w:val="22"/>
      <w:szCs w:val="22"/>
      <w:lang w:val="en-AU" w:eastAsia="en-US"/>
    </w:rPr>
  </w:style>
  <w:style w:type="paragraph" w:customStyle="1" w:styleId="TableParagraph">
    <w:name w:val="Table Paragraph"/>
    <w:basedOn w:val="Normal"/>
    <w:uiPriority w:val="1"/>
    <w:qFormat/>
    <w:rsid w:val="000E59B7"/>
    <w:pPr>
      <w:widowControl w:val="0"/>
      <w:spacing w:before="0" w:after="0"/>
    </w:pPr>
    <w:rPr>
      <w:rFonts w:ascii="Calibri" w:eastAsia="Calibri" w:hAnsi="Calibri" w:cs="Times New Roman"/>
      <w:kern w:val="0"/>
      <w:szCs w:val="22"/>
      <w:lang w:eastAsia="en-US"/>
    </w:r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locked/>
    <w:rsid w:val="00EB6EB1"/>
    <w:rPr>
      <w:rFonts w:ascii="Arial" w:hAnsi="Arial"/>
      <w:color w:val="auto"/>
      <w:u w:val="none"/>
    </w:rPr>
  </w:style>
  <w:style w:type="paragraph" w:customStyle="1" w:styleId="financeheading2">
    <w:name w:val="finance heading 2"/>
    <w:basedOn w:val="Heading2"/>
    <w:link w:val="financeheading2Char"/>
    <w:qFormat/>
    <w:rsid w:val="00341581"/>
  </w:style>
  <w:style w:type="paragraph" w:customStyle="1" w:styleId="FinanceHeading3">
    <w:name w:val="Finance Heading 3"/>
    <w:basedOn w:val="Heading3"/>
    <w:link w:val="FinanceHeading3Char"/>
    <w:qFormat/>
    <w:rsid w:val="00341581"/>
    <w:rPr>
      <w:rFonts w:eastAsia="Times New Roman"/>
    </w:rPr>
  </w:style>
  <w:style w:type="character" w:customStyle="1" w:styleId="TOC1Char">
    <w:name w:val="TOC 1 Char"/>
    <w:basedOn w:val="DefaultParagraphFont"/>
    <w:link w:val="TOC1"/>
    <w:uiPriority w:val="39"/>
    <w:rsid w:val="00D53180"/>
    <w:rPr>
      <w:rFonts w:ascii="Arial" w:hAnsi="Arial"/>
      <w:b/>
      <w:bCs/>
      <w:color w:val="auto"/>
      <w:sz w:val="24"/>
      <w:u w:val="none"/>
    </w:rPr>
  </w:style>
  <w:style w:type="character" w:customStyle="1" w:styleId="financeheading2Char">
    <w:name w:val="finance heading 2 Char"/>
    <w:basedOn w:val="TOC1Char"/>
    <w:link w:val="financeheading2"/>
    <w:rsid w:val="00341581"/>
    <w:rPr>
      <w:rFonts w:ascii="Arial" w:eastAsiaTheme="majorEastAsia" w:hAnsi="Arial" w:cstheme="majorBidi"/>
      <w:b/>
      <w:bCs w:val="0"/>
      <w:i/>
      <w:caps w:val="0"/>
      <w:color w:val="670022" w:themeColor="accent1" w:themeShade="BF"/>
      <w:kern w:val="20"/>
      <w:sz w:val="36"/>
      <w:u w:val="none"/>
      <w14:ligatures w14:val="standardContextual"/>
    </w:rPr>
  </w:style>
  <w:style w:type="character" w:customStyle="1" w:styleId="FinanceHeading3Char">
    <w:name w:val="Finance Heading 3 Char"/>
    <w:basedOn w:val="financeheading2Char"/>
    <w:link w:val="FinanceHeading3"/>
    <w:rsid w:val="00341581"/>
    <w:rPr>
      <w:rFonts w:ascii="Arial" w:eastAsia="Times New Roman" w:hAnsi="Arial" w:cstheme="majorBidi"/>
      <w:b/>
      <w:bCs/>
      <w:i w:val="0"/>
      <w:caps/>
      <w:color w:val="670022" w:themeColor="accent1" w:themeShade="BF"/>
      <w:kern w:val="20"/>
      <w:sz w:val="28"/>
      <w:u w:val="none"/>
      <w14:ligatures w14:val="standardContextual"/>
    </w:rPr>
  </w:style>
  <w:style w:type="table" w:customStyle="1" w:styleId="PlainTable21">
    <w:name w:val="Plain Table 21"/>
    <w:basedOn w:val="TableNormal"/>
    <w:uiPriority w:val="41"/>
    <w:rsid w:val="00180613"/>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11">
    <w:name w:val="Plain Table 11"/>
    <w:basedOn w:val="TableNormal"/>
    <w:uiPriority w:val="40"/>
    <w:rsid w:val="00B65A13"/>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3"/>
    <w:rsid w:val="00C74296"/>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FinancialTable1">
    <w:name w:val="Financial Table1"/>
    <w:basedOn w:val="TableNormal"/>
    <w:uiPriority w:val="99"/>
    <w:rsid w:val="00CC416C"/>
    <w:pPr>
      <w:spacing w:before="40"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8A002E" w:themeColor="accent1"/>
        <w:sz w:val="22"/>
      </w:rPr>
    </w:tblStylePr>
    <w:tblStylePr w:type="firstCol">
      <w:rPr>
        <w:b/>
      </w:rPr>
    </w:tblStylePr>
  </w:style>
  <w:style w:type="paragraph" w:customStyle="1" w:styleId="Default">
    <w:name w:val="Default"/>
    <w:rsid w:val="007405D1"/>
    <w:pPr>
      <w:autoSpaceDE w:val="0"/>
      <w:autoSpaceDN w:val="0"/>
      <w:adjustRightInd w:val="0"/>
      <w:spacing w:before="0" w:after="0"/>
    </w:pPr>
    <w:rPr>
      <w:rFonts w:ascii="Arial" w:hAnsi="Arial"/>
      <w:color w:val="000000"/>
      <w:kern w:val="0"/>
      <w:sz w:val="24"/>
      <w:szCs w:val="24"/>
      <w:lang w:val="en-AU" w:eastAsia="en-US"/>
    </w:rPr>
  </w:style>
  <w:style w:type="table" w:customStyle="1" w:styleId="TableGrid10">
    <w:name w:val="Table Grid1"/>
    <w:basedOn w:val="TableNormal"/>
    <w:next w:val="TableGrid"/>
    <w:uiPriority w:val="39"/>
    <w:rsid w:val="00654152"/>
    <w:pPr>
      <w:widowControl w:val="0"/>
      <w:spacing w:before="0" w:after="0"/>
    </w:pPr>
    <w:rPr>
      <w:rFonts w:ascii="Calibri" w:hAnsi="Calibri" w:cs="Times New Roman"/>
      <w:color w:val="auto"/>
      <w:kern w:val="0"/>
      <w:szCs w:val="22"/>
      <w:u w:val="none"/>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0">
    <w:name w:val="Plain Table 21"/>
    <w:basedOn w:val="TableNormal"/>
    <w:uiPriority w:val="41"/>
    <w:rsid w:val="00E25586"/>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22">
    <w:name w:val="Plain Table 22"/>
    <w:basedOn w:val="TableNormal"/>
    <w:uiPriority w:val="41"/>
    <w:rsid w:val="006145F1"/>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paragraph" w:customStyle="1" w:styleId="Style2">
    <w:name w:val="Style 2"/>
    <w:basedOn w:val="Normal"/>
    <w:rsid w:val="00BD394B"/>
    <w:pPr>
      <w:widowControl w:val="0"/>
      <w:numPr>
        <w:numId w:val="36"/>
      </w:numPr>
      <w:tabs>
        <w:tab w:val="left" w:pos="357"/>
      </w:tabs>
      <w:spacing w:before="0" w:line="300" w:lineRule="atLeast"/>
    </w:pPr>
    <w:rPr>
      <w:rFonts w:eastAsia="Times New Roman" w:cs="Times New Roman"/>
      <w:kern w:val="0"/>
      <w:lang w:val="en-AU" w:eastAsia="en-US"/>
    </w:rPr>
  </w:style>
  <w:style w:type="paragraph" w:customStyle="1" w:styleId="bulletpoint">
    <w:name w:val="bullet point"/>
    <w:basedOn w:val="Style2"/>
    <w:link w:val="bulletpointChar"/>
    <w:rsid w:val="00BD394B"/>
    <w:pPr>
      <w:numPr>
        <w:ilvl w:val="1"/>
      </w:numPr>
      <w:spacing w:line="240" w:lineRule="auto"/>
      <w:outlineLvl w:val="1"/>
    </w:pPr>
  </w:style>
  <w:style w:type="paragraph" w:customStyle="1" w:styleId="dashpoint">
    <w:name w:val="dash point"/>
    <w:basedOn w:val="bulletpoint"/>
    <w:rsid w:val="00BD394B"/>
    <w:pPr>
      <w:numPr>
        <w:ilvl w:val="2"/>
      </w:numPr>
      <w:tabs>
        <w:tab w:val="clear" w:pos="907"/>
        <w:tab w:val="num" w:pos="720"/>
      </w:tabs>
      <w:ind w:left="720" w:hanging="360"/>
      <w:outlineLvl w:val="2"/>
    </w:pPr>
  </w:style>
  <w:style w:type="character" w:customStyle="1" w:styleId="bulletpointChar">
    <w:name w:val="bullet point Char"/>
    <w:basedOn w:val="DefaultParagraphFont"/>
    <w:link w:val="bulletpoint"/>
    <w:rsid w:val="00BD394B"/>
    <w:rPr>
      <w:rFonts w:ascii="Arial" w:eastAsia="Times New Roman" w:hAnsi="Arial" w:cs="Times New Roman"/>
      <w:color w:val="auto"/>
      <w:kern w:val="0"/>
      <w:u w:val="none"/>
      <w:lang w:val="en-AU" w:eastAsia="en-US"/>
    </w:rPr>
  </w:style>
  <w:style w:type="paragraph" w:customStyle="1" w:styleId="Style1">
    <w:name w:val="Style1"/>
    <w:basedOn w:val="Normal"/>
    <w:link w:val="Style1Char"/>
    <w:qFormat/>
    <w:rsid w:val="00B122E9"/>
    <w:pPr>
      <w:ind w:left="2268"/>
    </w:pPr>
    <w:rPr>
      <w:rFonts w:eastAsia="Calibri"/>
      <w:b/>
      <w:noProof/>
      <w:color w:val="AB054B"/>
      <w:sz w:val="28"/>
      <w:szCs w:val="24"/>
      <w:lang w:val="en-AU" w:eastAsia="en-AU"/>
    </w:rPr>
  </w:style>
  <w:style w:type="character" w:customStyle="1" w:styleId="Style1Char">
    <w:name w:val="Style1 Char"/>
    <w:basedOn w:val="DefaultParagraphFont"/>
    <w:link w:val="Style1"/>
    <w:rsid w:val="00B122E9"/>
    <w:rPr>
      <w:rFonts w:ascii="Arial" w:eastAsia="Calibri" w:hAnsi="Arial"/>
      <w:b/>
      <w:noProof/>
      <w:color w:val="AB054B"/>
      <w:sz w:val="28"/>
      <w:szCs w:val="24"/>
      <w:u w:val="none"/>
      <w:lang w:val="en-AU" w:eastAsia="en-AU"/>
    </w:rPr>
  </w:style>
  <w:style w:type="paragraph" w:customStyle="1" w:styleId="Style3">
    <w:name w:val="Style3"/>
    <w:basedOn w:val="BodyText"/>
    <w:link w:val="Style3Char"/>
    <w:qFormat/>
    <w:rsid w:val="00B122E9"/>
    <w:pPr>
      <w:ind w:left="2268"/>
    </w:pPr>
    <w:rPr>
      <w:b/>
      <w:sz w:val="24"/>
      <w:szCs w:val="24"/>
    </w:rPr>
  </w:style>
  <w:style w:type="character" w:customStyle="1" w:styleId="Style3Char">
    <w:name w:val="Style3 Char"/>
    <w:basedOn w:val="BodyTextChar"/>
    <w:link w:val="Style3"/>
    <w:rsid w:val="00B122E9"/>
    <w:rPr>
      <w:rFonts w:ascii="Arial" w:hAnsi="Arial"/>
      <w:b/>
      <w:color w:val="auto"/>
      <w:sz w:val="24"/>
      <w:szCs w:val="24"/>
      <w:u w:val="none"/>
    </w:rPr>
  </w:style>
  <w:style w:type="paragraph" w:customStyle="1" w:styleId="1">
    <w:name w:val="列1"/>
    <w:basedOn w:val="Normal"/>
    <w:next w:val="ListParagraph"/>
    <w:uiPriority w:val="1"/>
    <w:unhideWhenUsed/>
    <w:qFormat/>
    <w:rsid w:val="00771EF0"/>
    <w:pPr>
      <w:ind w:left="720"/>
      <w:contextualSpacing/>
    </w:pPr>
  </w:style>
  <w:style w:type="paragraph" w:styleId="Revision">
    <w:name w:val="Revision"/>
    <w:hidden/>
    <w:uiPriority w:val="99"/>
    <w:semiHidden/>
    <w:rsid w:val="001D45B0"/>
    <w:pPr>
      <w:spacing w:before="0" w:after="0"/>
    </w:pPr>
    <w:rPr>
      <w:rFonts w:ascii="Arial" w:hAnsi="Arial"/>
      <w:color w:val="auto"/>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482796">
      <w:bodyDiv w:val="1"/>
      <w:marLeft w:val="0"/>
      <w:marRight w:val="0"/>
      <w:marTop w:val="0"/>
      <w:marBottom w:val="0"/>
      <w:divBdr>
        <w:top w:val="none" w:sz="0" w:space="0" w:color="auto"/>
        <w:left w:val="none" w:sz="0" w:space="0" w:color="auto"/>
        <w:bottom w:val="none" w:sz="0" w:space="0" w:color="auto"/>
        <w:right w:val="none" w:sz="0" w:space="0" w:color="auto"/>
      </w:divBdr>
      <w:divsChild>
        <w:div w:id="311452269">
          <w:marLeft w:val="547"/>
          <w:marRight w:val="0"/>
          <w:marTop w:val="0"/>
          <w:marBottom w:val="0"/>
          <w:divBdr>
            <w:top w:val="none" w:sz="0" w:space="0" w:color="auto"/>
            <w:left w:val="none" w:sz="0" w:space="0" w:color="auto"/>
            <w:bottom w:val="none" w:sz="0" w:space="0" w:color="auto"/>
            <w:right w:val="none" w:sz="0" w:space="0" w:color="auto"/>
          </w:divBdr>
        </w:div>
      </w:divsChild>
    </w:div>
    <w:div w:id="361706608">
      <w:bodyDiv w:val="1"/>
      <w:marLeft w:val="0"/>
      <w:marRight w:val="0"/>
      <w:marTop w:val="0"/>
      <w:marBottom w:val="0"/>
      <w:divBdr>
        <w:top w:val="none" w:sz="0" w:space="0" w:color="auto"/>
        <w:left w:val="none" w:sz="0" w:space="0" w:color="auto"/>
        <w:bottom w:val="none" w:sz="0" w:space="0" w:color="auto"/>
        <w:right w:val="none" w:sz="0" w:space="0" w:color="auto"/>
      </w:divBdr>
    </w:div>
    <w:div w:id="400060772">
      <w:bodyDiv w:val="1"/>
      <w:marLeft w:val="0"/>
      <w:marRight w:val="0"/>
      <w:marTop w:val="0"/>
      <w:marBottom w:val="0"/>
      <w:divBdr>
        <w:top w:val="none" w:sz="0" w:space="0" w:color="auto"/>
        <w:left w:val="none" w:sz="0" w:space="0" w:color="auto"/>
        <w:bottom w:val="none" w:sz="0" w:space="0" w:color="auto"/>
        <w:right w:val="none" w:sz="0" w:space="0" w:color="auto"/>
      </w:divBdr>
    </w:div>
    <w:div w:id="481966634">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00919490">
      <w:bodyDiv w:val="1"/>
      <w:marLeft w:val="0"/>
      <w:marRight w:val="0"/>
      <w:marTop w:val="0"/>
      <w:marBottom w:val="0"/>
      <w:divBdr>
        <w:top w:val="none" w:sz="0" w:space="0" w:color="auto"/>
        <w:left w:val="none" w:sz="0" w:space="0" w:color="auto"/>
        <w:bottom w:val="none" w:sz="0" w:space="0" w:color="auto"/>
        <w:right w:val="none" w:sz="0" w:space="0" w:color="auto"/>
      </w:divBdr>
      <w:divsChild>
        <w:div w:id="1088649160">
          <w:marLeft w:val="547"/>
          <w:marRight w:val="0"/>
          <w:marTop w:val="0"/>
          <w:marBottom w:val="0"/>
          <w:divBdr>
            <w:top w:val="none" w:sz="0" w:space="0" w:color="auto"/>
            <w:left w:val="none" w:sz="0" w:space="0" w:color="auto"/>
            <w:bottom w:val="none" w:sz="0" w:space="0" w:color="auto"/>
            <w:right w:val="none" w:sz="0" w:space="0" w:color="auto"/>
          </w:divBdr>
        </w:div>
        <w:div w:id="1595895518">
          <w:marLeft w:val="1166"/>
          <w:marRight w:val="0"/>
          <w:marTop w:val="0"/>
          <w:marBottom w:val="0"/>
          <w:divBdr>
            <w:top w:val="none" w:sz="0" w:space="0" w:color="auto"/>
            <w:left w:val="none" w:sz="0" w:space="0" w:color="auto"/>
            <w:bottom w:val="none" w:sz="0" w:space="0" w:color="auto"/>
            <w:right w:val="none" w:sz="0" w:space="0" w:color="auto"/>
          </w:divBdr>
        </w:div>
        <w:div w:id="654534539">
          <w:marLeft w:val="1166"/>
          <w:marRight w:val="0"/>
          <w:marTop w:val="0"/>
          <w:marBottom w:val="0"/>
          <w:divBdr>
            <w:top w:val="none" w:sz="0" w:space="0" w:color="auto"/>
            <w:left w:val="none" w:sz="0" w:space="0" w:color="auto"/>
            <w:bottom w:val="none" w:sz="0" w:space="0" w:color="auto"/>
            <w:right w:val="none" w:sz="0" w:space="0" w:color="auto"/>
          </w:divBdr>
        </w:div>
        <w:div w:id="1804422927">
          <w:marLeft w:val="1166"/>
          <w:marRight w:val="0"/>
          <w:marTop w:val="0"/>
          <w:marBottom w:val="0"/>
          <w:divBdr>
            <w:top w:val="none" w:sz="0" w:space="0" w:color="auto"/>
            <w:left w:val="none" w:sz="0" w:space="0" w:color="auto"/>
            <w:bottom w:val="none" w:sz="0" w:space="0" w:color="auto"/>
            <w:right w:val="none" w:sz="0" w:space="0" w:color="auto"/>
          </w:divBdr>
        </w:div>
      </w:divsChild>
    </w:div>
    <w:div w:id="648249006">
      <w:bodyDiv w:val="1"/>
      <w:marLeft w:val="0"/>
      <w:marRight w:val="0"/>
      <w:marTop w:val="0"/>
      <w:marBottom w:val="0"/>
      <w:divBdr>
        <w:top w:val="none" w:sz="0" w:space="0" w:color="auto"/>
        <w:left w:val="none" w:sz="0" w:space="0" w:color="auto"/>
        <w:bottom w:val="none" w:sz="0" w:space="0" w:color="auto"/>
        <w:right w:val="none" w:sz="0" w:space="0" w:color="auto"/>
      </w:divBdr>
    </w:div>
    <w:div w:id="675154090">
      <w:bodyDiv w:val="1"/>
      <w:marLeft w:val="0"/>
      <w:marRight w:val="0"/>
      <w:marTop w:val="0"/>
      <w:marBottom w:val="0"/>
      <w:divBdr>
        <w:top w:val="none" w:sz="0" w:space="0" w:color="auto"/>
        <w:left w:val="none" w:sz="0" w:space="0" w:color="auto"/>
        <w:bottom w:val="none" w:sz="0" w:space="0" w:color="auto"/>
        <w:right w:val="none" w:sz="0" w:space="0" w:color="auto"/>
      </w:divBdr>
    </w:div>
    <w:div w:id="765922029">
      <w:bodyDiv w:val="1"/>
      <w:marLeft w:val="0"/>
      <w:marRight w:val="0"/>
      <w:marTop w:val="0"/>
      <w:marBottom w:val="0"/>
      <w:divBdr>
        <w:top w:val="none" w:sz="0" w:space="0" w:color="auto"/>
        <w:left w:val="none" w:sz="0" w:space="0" w:color="auto"/>
        <w:bottom w:val="none" w:sz="0" w:space="0" w:color="auto"/>
        <w:right w:val="none" w:sz="0" w:space="0" w:color="auto"/>
      </w:divBdr>
    </w:div>
    <w:div w:id="1492134890">
      <w:bodyDiv w:val="1"/>
      <w:marLeft w:val="0"/>
      <w:marRight w:val="0"/>
      <w:marTop w:val="0"/>
      <w:marBottom w:val="0"/>
      <w:divBdr>
        <w:top w:val="none" w:sz="0" w:space="0" w:color="auto"/>
        <w:left w:val="none" w:sz="0" w:space="0" w:color="auto"/>
        <w:bottom w:val="none" w:sz="0" w:space="0" w:color="auto"/>
        <w:right w:val="none" w:sz="0" w:space="0" w:color="auto"/>
      </w:divBdr>
      <w:divsChild>
        <w:div w:id="153688080">
          <w:marLeft w:val="547"/>
          <w:marRight w:val="0"/>
          <w:marTop w:val="0"/>
          <w:marBottom w:val="0"/>
          <w:divBdr>
            <w:top w:val="none" w:sz="0" w:space="0" w:color="auto"/>
            <w:left w:val="none" w:sz="0" w:space="0" w:color="auto"/>
            <w:bottom w:val="none" w:sz="0" w:space="0" w:color="auto"/>
            <w:right w:val="none" w:sz="0" w:space="0" w:color="auto"/>
          </w:divBdr>
        </w:div>
        <w:div w:id="205993543">
          <w:marLeft w:val="547"/>
          <w:marRight w:val="0"/>
          <w:marTop w:val="0"/>
          <w:marBottom w:val="0"/>
          <w:divBdr>
            <w:top w:val="none" w:sz="0" w:space="0" w:color="auto"/>
            <w:left w:val="none" w:sz="0" w:space="0" w:color="auto"/>
            <w:bottom w:val="none" w:sz="0" w:space="0" w:color="auto"/>
            <w:right w:val="none" w:sz="0" w:space="0" w:color="auto"/>
          </w:divBdr>
        </w:div>
        <w:div w:id="1216815209">
          <w:marLeft w:val="547"/>
          <w:marRight w:val="0"/>
          <w:marTop w:val="0"/>
          <w:marBottom w:val="0"/>
          <w:divBdr>
            <w:top w:val="none" w:sz="0" w:space="0" w:color="auto"/>
            <w:left w:val="none" w:sz="0" w:space="0" w:color="auto"/>
            <w:bottom w:val="none" w:sz="0" w:space="0" w:color="auto"/>
            <w:right w:val="none" w:sz="0" w:space="0" w:color="auto"/>
          </w:divBdr>
        </w:div>
        <w:div w:id="1140734621">
          <w:marLeft w:val="547"/>
          <w:marRight w:val="0"/>
          <w:marTop w:val="0"/>
          <w:marBottom w:val="0"/>
          <w:divBdr>
            <w:top w:val="none" w:sz="0" w:space="0" w:color="auto"/>
            <w:left w:val="none" w:sz="0" w:space="0" w:color="auto"/>
            <w:bottom w:val="none" w:sz="0" w:space="0" w:color="auto"/>
            <w:right w:val="none" w:sz="0" w:space="0" w:color="auto"/>
          </w:divBdr>
        </w:div>
        <w:div w:id="24403954">
          <w:marLeft w:val="547"/>
          <w:marRight w:val="0"/>
          <w:marTop w:val="0"/>
          <w:marBottom w:val="0"/>
          <w:divBdr>
            <w:top w:val="none" w:sz="0" w:space="0" w:color="auto"/>
            <w:left w:val="none" w:sz="0" w:space="0" w:color="auto"/>
            <w:bottom w:val="none" w:sz="0" w:space="0" w:color="auto"/>
            <w:right w:val="none" w:sz="0" w:space="0" w:color="auto"/>
          </w:divBdr>
        </w:div>
      </w:divsChild>
    </w:div>
    <w:div w:id="1721173687">
      <w:bodyDiv w:val="1"/>
      <w:marLeft w:val="0"/>
      <w:marRight w:val="0"/>
      <w:marTop w:val="0"/>
      <w:marBottom w:val="0"/>
      <w:divBdr>
        <w:top w:val="none" w:sz="0" w:space="0" w:color="auto"/>
        <w:left w:val="none" w:sz="0" w:space="0" w:color="auto"/>
        <w:bottom w:val="none" w:sz="0" w:space="0" w:color="auto"/>
        <w:right w:val="none" w:sz="0" w:space="0" w:color="auto"/>
      </w:divBdr>
      <w:divsChild>
        <w:div w:id="208418737">
          <w:marLeft w:val="547"/>
          <w:marRight w:val="0"/>
          <w:marTop w:val="0"/>
          <w:marBottom w:val="0"/>
          <w:divBdr>
            <w:top w:val="none" w:sz="0" w:space="0" w:color="auto"/>
            <w:left w:val="none" w:sz="0" w:space="0" w:color="auto"/>
            <w:bottom w:val="none" w:sz="0" w:space="0" w:color="auto"/>
            <w:right w:val="none" w:sz="0" w:space="0" w:color="auto"/>
          </w:divBdr>
        </w:div>
        <w:div w:id="1782458406">
          <w:marLeft w:val="1166"/>
          <w:marRight w:val="0"/>
          <w:marTop w:val="0"/>
          <w:marBottom w:val="0"/>
          <w:divBdr>
            <w:top w:val="none" w:sz="0" w:space="0" w:color="auto"/>
            <w:left w:val="none" w:sz="0" w:space="0" w:color="auto"/>
            <w:bottom w:val="none" w:sz="0" w:space="0" w:color="auto"/>
            <w:right w:val="none" w:sz="0" w:space="0" w:color="auto"/>
          </w:divBdr>
        </w:div>
        <w:div w:id="1613242104">
          <w:marLeft w:val="1166"/>
          <w:marRight w:val="0"/>
          <w:marTop w:val="0"/>
          <w:marBottom w:val="0"/>
          <w:divBdr>
            <w:top w:val="none" w:sz="0" w:space="0" w:color="auto"/>
            <w:left w:val="none" w:sz="0" w:space="0" w:color="auto"/>
            <w:bottom w:val="none" w:sz="0" w:space="0" w:color="auto"/>
            <w:right w:val="none" w:sz="0" w:space="0" w:color="auto"/>
          </w:divBdr>
        </w:div>
        <w:div w:id="1459370591">
          <w:marLeft w:val="1166"/>
          <w:marRight w:val="0"/>
          <w:marTop w:val="0"/>
          <w:marBottom w:val="0"/>
          <w:divBdr>
            <w:top w:val="none" w:sz="0" w:space="0" w:color="auto"/>
            <w:left w:val="none" w:sz="0" w:space="0" w:color="auto"/>
            <w:bottom w:val="none" w:sz="0" w:space="0" w:color="auto"/>
            <w:right w:val="none" w:sz="0" w:space="0" w:color="auto"/>
          </w:divBdr>
        </w:div>
      </w:divsChild>
    </w:div>
    <w:div w:id="1840660134">
      <w:bodyDiv w:val="1"/>
      <w:marLeft w:val="0"/>
      <w:marRight w:val="0"/>
      <w:marTop w:val="0"/>
      <w:marBottom w:val="0"/>
      <w:divBdr>
        <w:top w:val="none" w:sz="0" w:space="0" w:color="auto"/>
        <w:left w:val="none" w:sz="0" w:space="0" w:color="auto"/>
        <w:bottom w:val="none" w:sz="0" w:space="0" w:color="auto"/>
        <w:right w:val="none" w:sz="0" w:space="0" w:color="auto"/>
      </w:divBdr>
    </w:div>
    <w:div w:id="1858422629">
      <w:bodyDiv w:val="1"/>
      <w:marLeft w:val="0"/>
      <w:marRight w:val="0"/>
      <w:marTop w:val="0"/>
      <w:marBottom w:val="0"/>
      <w:divBdr>
        <w:top w:val="none" w:sz="0" w:space="0" w:color="auto"/>
        <w:left w:val="none" w:sz="0" w:space="0" w:color="auto"/>
        <w:bottom w:val="none" w:sz="0" w:space="0" w:color="auto"/>
        <w:right w:val="none" w:sz="0" w:space="0" w:color="auto"/>
      </w:divBdr>
    </w:div>
    <w:div w:id="1872721267">
      <w:bodyDiv w:val="1"/>
      <w:marLeft w:val="0"/>
      <w:marRight w:val="0"/>
      <w:marTop w:val="0"/>
      <w:marBottom w:val="0"/>
      <w:divBdr>
        <w:top w:val="none" w:sz="0" w:space="0" w:color="auto"/>
        <w:left w:val="none" w:sz="0" w:space="0" w:color="auto"/>
        <w:bottom w:val="none" w:sz="0" w:space="0" w:color="auto"/>
        <w:right w:val="none" w:sz="0" w:space="0" w:color="auto"/>
      </w:divBdr>
      <w:divsChild>
        <w:div w:id="1516338978">
          <w:marLeft w:val="547"/>
          <w:marRight w:val="0"/>
          <w:marTop w:val="0"/>
          <w:marBottom w:val="0"/>
          <w:divBdr>
            <w:top w:val="none" w:sz="0" w:space="0" w:color="auto"/>
            <w:left w:val="none" w:sz="0" w:space="0" w:color="auto"/>
            <w:bottom w:val="none" w:sz="0" w:space="0" w:color="auto"/>
            <w:right w:val="none" w:sz="0" w:space="0" w:color="auto"/>
          </w:divBdr>
        </w:div>
      </w:divsChild>
    </w:div>
    <w:div w:id="1958442386">
      <w:bodyDiv w:val="1"/>
      <w:marLeft w:val="0"/>
      <w:marRight w:val="0"/>
      <w:marTop w:val="0"/>
      <w:marBottom w:val="0"/>
      <w:divBdr>
        <w:top w:val="none" w:sz="0" w:space="0" w:color="auto"/>
        <w:left w:val="none" w:sz="0" w:space="0" w:color="auto"/>
        <w:bottom w:val="none" w:sz="0" w:space="0" w:color="auto"/>
        <w:right w:val="none" w:sz="0" w:space="0" w:color="auto"/>
      </w:divBdr>
      <w:divsChild>
        <w:div w:id="1173840796">
          <w:marLeft w:val="547"/>
          <w:marRight w:val="0"/>
          <w:marTop w:val="0"/>
          <w:marBottom w:val="0"/>
          <w:divBdr>
            <w:top w:val="none" w:sz="0" w:space="0" w:color="auto"/>
            <w:left w:val="none" w:sz="0" w:space="0" w:color="auto"/>
            <w:bottom w:val="none" w:sz="0" w:space="0" w:color="auto"/>
            <w:right w:val="none" w:sz="0" w:space="0" w:color="auto"/>
          </w:divBdr>
        </w:div>
      </w:divsChild>
    </w:div>
    <w:div w:id="1978030758">
      <w:bodyDiv w:val="1"/>
      <w:marLeft w:val="0"/>
      <w:marRight w:val="0"/>
      <w:marTop w:val="0"/>
      <w:marBottom w:val="0"/>
      <w:divBdr>
        <w:top w:val="none" w:sz="0" w:space="0" w:color="auto"/>
        <w:left w:val="none" w:sz="0" w:space="0" w:color="auto"/>
        <w:bottom w:val="none" w:sz="0" w:space="0" w:color="auto"/>
        <w:right w:val="none" w:sz="0" w:space="0" w:color="auto"/>
      </w:divBdr>
    </w:div>
    <w:div w:id="1996638170">
      <w:bodyDiv w:val="1"/>
      <w:marLeft w:val="0"/>
      <w:marRight w:val="0"/>
      <w:marTop w:val="0"/>
      <w:marBottom w:val="0"/>
      <w:divBdr>
        <w:top w:val="none" w:sz="0" w:space="0" w:color="auto"/>
        <w:left w:val="none" w:sz="0" w:space="0" w:color="auto"/>
        <w:bottom w:val="none" w:sz="0" w:space="0" w:color="auto"/>
        <w:right w:val="none" w:sz="0" w:space="0" w:color="auto"/>
      </w:divBdr>
      <w:divsChild>
        <w:div w:id="630208596">
          <w:marLeft w:val="547"/>
          <w:marRight w:val="0"/>
          <w:marTop w:val="0"/>
          <w:marBottom w:val="0"/>
          <w:divBdr>
            <w:top w:val="none" w:sz="0" w:space="0" w:color="auto"/>
            <w:left w:val="none" w:sz="0" w:space="0" w:color="auto"/>
            <w:bottom w:val="none" w:sz="0" w:space="0" w:color="auto"/>
            <w:right w:val="none" w:sz="0" w:space="0" w:color="auto"/>
          </w:divBdr>
        </w:div>
      </w:divsChild>
    </w:div>
    <w:div w:id="2005279795">
      <w:bodyDiv w:val="1"/>
      <w:marLeft w:val="0"/>
      <w:marRight w:val="0"/>
      <w:marTop w:val="0"/>
      <w:marBottom w:val="0"/>
      <w:divBdr>
        <w:top w:val="none" w:sz="0" w:space="0" w:color="auto"/>
        <w:left w:val="none" w:sz="0" w:space="0" w:color="auto"/>
        <w:bottom w:val="none" w:sz="0" w:space="0" w:color="auto"/>
        <w:right w:val="none" w:sz="0" w:space="0" w:color="auto"/>
      </w:divBdr>
      <w:divsChild>
        <w:div w:id="1033653800">
          <w:marLeft w:val="547"/>
          <w:marRight w:val="0"/>
          <w:marTop w:val="0"/>
          <w:marBottom w:val="0"/>
          <w:divBdr>
            <w:top w:val="none" w:sz="0" w:space="0" w:color="auto"/>
            <w:left w:val="none" w:sz="0" w:space="0" w:color="auto"/>
            <w:bottom w:val="none" w:sz="0" w:space="0" w:color="auto"/>
            <w:right w:val="none" w:sz="0" w:space="0" w:color="auto"/>
          </w:divBdr>
        </w:div>
      </w:divsChild>
    </w:div>
    <w:div w:id="2089034359">
      <w:bodyDiv w:val="1"/>
      <w:marLeft w:val="0"/>
      <w:marRight w:val="0"/>
      <w:marTop w:val="0"/>
      <w:marBottom w:val="0"/>
      <w:divBdr>
        <w:top w:val="none" w:sz="0" w:space="0" w:color="auto"/>
        <w:left w:val="none" w:sz="0" w:space="0" w:color="auto"/>
        <w:bottom w:val="none" w:sz="0" w:space="0" w:color="auto"/>
        <w:right w:val="none" w:sz="0" w:space="0" w:color="auto"/>
      </w:divBdr>
      <w:divsChild>
        <w:div w:id="11341184">
          <w:marLeft w:val="547"/>
          <w:marRight w:val="0"/>
          <w:marTop w:val="0"/>
          <w:marBottom w:val="0"/>
          <w:divBdr>
            <w:top w:val="none" w:sz="0" w:space="0" w:color="auto"/>
            <w:left w:val="none" w:sz="0" w:space="0" w:color="auto"/>
            <w:bottom w:val="none" w:sz="0" w:space="0" w:color="auto"/>
            <w:right w:val="none" w:sz="0" w:space="0" w:color="auto"/>
          </w:divBdr>
        </w:div>
        <w:div w:id="43718581">
          <w:marLeft w:val="547"/>
          <w:marRight w:val="0"/>
          <w:marTop w:val="0"/>
          <w:marBottom w:val="0"/>
          <w:divBdr>
            <w:top w:val="none" w:sz="0" w:space="0" w:color="auto"/>
            <w:left w:val="none" w:sz="0" w:space="0" w:color="auto"/>
            <w:bottom w:val="none" w:sz="0" w:space="0" w:color="auto"/>
            <w:right w:val="none" w:sz="0" w:space="0" w:color="auto"/>
          </w:divBdr>
        </w:div>
        <w:div w:id="1357002132">
          <w:marLeft w:val="547"/>
          <w:marRight w:val="0"/>
          <w:marTop w:val="0"/>
          <w:marBottom w:val="0"/>
          <w:divBdr>
            <w:top w:val="none" w:sz="0" w:space="0" w:color="auto"/>
            <w:left w:val="none" w:sz="0" w:space="0" w:color="auto"/>
            <w:bottom w:val="none" w:sz="0" w:space="0" w:color="auto"/>
            <w:right w:val="none" w:sz="0" w:space="0" w:color="auto"/>
          </w:divBdr>
        </w:div>
      </w:divsChild>
    </w:div>
    <w:div w:id="2115519120">
      <w:bodyDiv w:val="1"/>
      <w:marLeft w:val="0"/>
      <w:marRight w:val="0"/>
      <w:marTop w:val="0"/>
      <w:marBottom w:val="0"/>
      <w:divBdr>
        <w:top w:val="none" w:sz="0" w:space="0" w:color="auto"/>
        <w:left w:val="none" w:sz="0" w:space="0" w:color="auto"/>
        <w:bottom w:val="none" w:sz="0" w:space="0" w:color="auto"/>
        <w:right w:val="none" w:sz="0" w:space="0" w:color="auto"/>
      </w:divBdr>
    </w:div>
    <w:div w:id="213536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3.png"/><Relationship Id="rId39" Type="http://schemas.openxmlformats.org/officeDocument/2006/relationships/hyperlink" Target="http://www.pinterest.com/qldpolice/" TargetMode="External"/><Relationship Id="rId21" Type="http://schemas.openxmlformats.org/officeDocument/2006/relationships/hyperlink" Target="https://www.igem.qld.gov.au/reports-and-publications/annual-reports/Pages/default.aspx" TargetMode="External"/><Relationship Id="rId34" Type="http://schemas.openxmlformats.org/officeDocument/2006/relationships/hyperlink" Target="http://www.youtube.com/QueenslandPolice" TargetMode="External"/><Relationship Id="rId42" Type="http://schemas.openxmlformats.org/officeDocument/2006/relationships/hyperlink" Target="http://creativecommons.org/licenses/by/3.0/au/deed.en" TargetMode="External"/><Relationship Id="rId47" Type="http://schemas.openxmlformats.org/officeDocument/2006/relationships/footer" Target="footer4.xml"/><Relationship Id="rId50" Type="http://schemas.openxmlformats.org/officeDocument/2006/relationships/image" Target="media/image12.jpg"/><Relationship Id="rId55" Type="http://schemas.openxmlformats.org/officeDocument/2006/relationships/image" Target="media/image16.jpeg"/><Relationship Id="rId63" Type="http://schemas.openxmlformats.org/officeDocument/2006/relationships/hyperlink" Target="https://www.igem.qld.gov.au/reports-and-publications/Documents/Mackay%20district%20capability%20review%20report%20PUBLIC.pdf" TargetMode="External"/><Relationship Id="rId68" Type="http://schemas.openxmlformats.org/officeDocument/2006/relationships/image" Target="media/image22.jpg"/><Relationship Id="rId76" Type="http://schemas.openxmlformats.org/officeDocument/2006/relationships/image" Target="media/image30.jpg"/><Relationship Id="rId84" Type="http://schemas.openxmlformats.org/officeDocument/2006/relationships/image" Target="media/image38.jpg"/><Relationship Id="rId89" Type="http://schemas.openxmlformats.org/officeDocument/2006/relationships/header" Target="header11.xml"/><Relationship Id="rId7" Type="http://schemas.openxmlformats.org/officeDocument/2006/relationships/numbering" Target="numbering.xml"/><Relationship Id="rId71" Type="http://schemas.openxmlformats.org/officeDocument/2006/relationships/image" Target="media/image25.jp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www.twitter.com/QldFES" TargetMode="External"/><Relationship Id="rId11" Type="http://schemas.openxmlformats.org/officeDocument/2006/relationships/footnotes" Target="footnotes.xml"/><Relationship Id="rId24" Type="http://schemas.openxmlformats.org/officeDocument/2006/relationships/hyperlink" Target="http://www.facebook.com/InspectorGeneralEmergencyManagement" TargetMode="External"/><Relationship Id="rId32" Type="http://schemas.openxmlformats.org/officeDocument/2006/relationships/image" Target="media/image6.jpeg"/><Relationship Id="rId37" Type="http://schemas.openxmlformats.org/officeDocument/2006/relationships/hyperlink" Target="http://www.twitter.com/qldpolice" TargetMode="External"/><Relationship Id="rId40" Type="http://schemas.openxmlformats.org/officeDocument/2006/relationships/image" Target="media/image8.emf"/><Relationship Id="rId45" Type="http://schemas.openxmlformats.org/officeDocument/2006/relationships/header" Target="header5.xml"/><Relationship Id="rId53" Type="http://schemas.openxmlformats.org/officeDocument/2006/relationships/image" Target="media/image14.png"/><Relationship Id="rId58" Type="http://schemas.openxmlformats.org/officeDocument/2006/relationships/image" Target="media/image19.jpeg"/><Relationship Id="rId66" Type="http://schemas.openxmlformats.org/officeDocument/2006/relationships/image" Target="media/image21.png"/><Relationship Id="rId74" Type="http://schemas.openxmlformats.org/officeDocument/2006/relationships/image" Target="media/image28.jpg"/><Relationship Id="rId79" Type="http://schemas.openxmlformats.org/officeDocument/2006/relationships/image" Target="media/image33.jpg"/><Relationship Id="rId87" Type="http://schemas.openxmlformats.org/officeDocument/2006/relationships/header" Target="header9.xml"/><Relationship Id="rId5" Type="http://schemas.openxmlformats.org/officeDocument/2006/relationships/customXml" Target="../customXml/item5.xml"/><Relationship Id="rId61" Type="http://schemas.openxmlformats.org/officeDocument/2006/relationships/hyperlink" Target="http://www.igem.qld.gov.au/assurance-framework/Pages/standard.aspx" TargetMode="External"/><Relationship Id="rId82" Type="http://schemas.openxmlformats.org/officeDocument/2006/relationships/image" Target="media/image36.jpg"/><Relationship Id="rId90" Type="http://schemas.openxmlformats.org/officeDocument/2006/relationships/footer" Target="footer5.xml"/><Relationship Id="rId19" Type="http://schemas.openxmlformats.org/officeDocument/2006/relationships/hyperlink" Target="mailto:info@igem.qld.gov.au" TargetMode="External"/><Relationship Id="rId14" Type="http://schemas.openxmlformats.org/officeDocument/2006/relationships/header" Target="header2.xml"/><Relationship Id="rId22" Type="http://schemas.openxmlformats.org/officeDocument/2006/relationships/hyperlink" Target="http://www.qld.gov.au/annualreportfeedback" TargetMode="External"/><Relationship Id="rId27" Type="http://schemas.openxmlformats.org/officeDocument/2006/relationships/hyperlink" Target="http://www.youtube.com/user/FireRescueQld" TargetMode="External"/><Relationship Id="rId30" Type="http://schemas.openxmlformats.org/officeDocument/2006/relationships/image" Target="media/image5.png"/><Relationship Id="rId35" Type="http://schemas.openxmlformats.org/officeDocument/2006/relationships/hyperlink" Target="http://www.facebook.com/QueenslandPolice" TargetMode="External"/><Relationship Id="rId43" Type="http://schemas.openxmlformats.org/officeDocument/2006/relationships/image" Target="media/image10.jpg"/><Relationship Id="rId48" Type="http://schemas.openxmlformats.org/officeDocument/2006/relationships/hyperlink" Target="http://www.data.qld.gov.au/" TargetMode="External"/><Relationship Id="rId56" Type="http://schemas.openxmlformats.org/officeDocument/2006/relationships/image" Target="media/image17.jpeg"/><Relationship Id="rId64" Type="http://schemas.openxmlformats.org/officeDocument/2006/relationships/hyperlink" Target="http://www.igem.qld.gov.au/assurance-framework/Pages/Prioritisation-Tool.aspx" TargetMode="External"/><Relationship Id="rId69" Type="http://schemas.openxmlformats.org/officeDocument/2006/relationships/image" Target="media/image23.jpg"/><Relationship Id="rId77" Type="http://schemas.openxmlformats.org/officeDocument/2006/relationships/image" Target="media/image31.jpg"/><Relationship Id="rId8" Type="http://schemas.openxmlformats.org/officeDocument/2006/relationships/styles" Target="styles.xml"/><Relationship Id="rId51" Type="http://schemas.openxmlformats.org/officeDocument/2006/relationships/image" Target="media/image13.emf"/><Relationship Id="rId72" Type="http://schemas.openxmlformats.org/officeDocument/2006/relationships/image" Target="media/image26.jpg"/><Relationship Id="rId80" Type="http://schemas.openxmlformats.org/officeDocument/2006/relationships/image" Target="media/image34.jpg"/><Relationship Id="rId85" Type="http://schemas.openxmlformats.org/officeDocument/2006/relationships/header" Target="header7.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hyperlink" Target="http://www.facebook.com/QldFireandRescueService" TargetMode="External"/><Relationship Id="rId33" Type="http://schemas.openxmlformats.org/officeDocument/2006/relationships/hyperlink" Target="http://www.mypolice.qld.gov.au/" TargetMode="External"/><Relationship Id="rId38" Type="http://schemas.openxmlformats.org/officeDocument/2006/relationships/image" Target="media/image7.png"/><Relationship Id="rId46" Type="http://schemas.openxmlformats.org/officeDocument/2006/relationships/header" Target="header6.xml"/><Relationship Id="rId59" Type="http://schemas.openxmlformats.org/officeDocument/2006/relationships/image" Target="media/image20.png"/><Relationship Id="rId67" Type="http://schemas.openxmlformats.org/officeDocument/2006/relationships/hyperlink" Target="http://www.qao.qld.gov.au/reports-resources/parliament?fy%5B%5D=FY2016-17" TargetMode="External"/><Relationship Id="rId20" Type="http://schemas.openxmlformats.org/officeDocument/2006/relationships/hyperlink" Target="http://www.igem.qld.gov.au/Pages/default.aspx" TargetMode="External"/><Relationship Id="rId41" Type="http://schemas.openxmlformats.org/officeDocument/2006/relationships/image" Target="media/image9.emf"/><Relationship Id="rId54" Type="http://schemas.openxmlformats.org/officeDocument/2006/relationships/image" Target="media/image15.jpeg"/><Relationship Id="rId62" Type="http://schemas.openxmlformats.org/officeDocument/2006/relationships/hyperlink" Target="https://www.igem.qld.gov.au/reports-and-publications/Documents/Meta%20Analysis%20Dicussion%20Paper.pdf" TargetMode="External"/><Relationship Id="rId70" Type="http://schemas.openxmlformats.org/officeDocument/2006/relationships/image" Target="media/image24.jpg"/><Relationship Id="rId75" Type="http://schemas.openxmlformats.org/officeDocument/2006/relationships/image" Target="media/image29.jpg"/><Relationship Id="rId83" Type="http://schemas.openxmlformats.org/officeDocument/2006/relationships/image" Target="media/image37.jpg"/><Relationship Id="rId88" Type="http://schemas.openxmlformats.org/officeDocument/2006/relationships/header" Target="header10.xml"/><Relationship Id="rId9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2.png"/><Relationship Id="rId28" Type="http://schemas.openxmlformats.org/officeDocument/2006/relationships/image" Target="media/image4.png"/><Relationship Id="rId36" Type="http://schemas.openxmlformats.org/officeDocument/2006/relationships/hyperlink" Target="http://www.instagram.com/qldpolice" TargetMode="External"/><Relationship Id="rId49" Type="http://schemas.openxmlformats.org/officeDocument/2006/relationships/image" Target="media/image11.jpg"/><Relationship Id="rId57" Type="http://schemas.openxmlformats.org/officeDocument/2006/relationships/image" Target="media/image18.jpeg"/><Relationship Id="rId10" Type="http://schemas.openxmlformats.org/officeDocument/2006/relationships/webSettings" Target="webSettings.xml"/><Relationship Id="rId31" Type="http://schemas.openxmlformats.org/officeDocument/2006/relationships/hyperlink" Target="http://www.instagram.com/qldfire/" TargetMode="External"/><Relationship Id="rId44" Type="http://schemas.openxmlformats.org/officeDocument/2006/relationships/header" Target="header4.xml"/><Relationship Id="rId52" Type="http://schemas.openxmlformats.org/officeDocument/2006/relationships/oleObject" Target="embeddings/Microsoft_Visio_2003-2010_Drawing111.vsd"/><Relationship Id="rId60" Type="http://schemas.openxmlformats.org/officeDocument/2006/relationships/hyperlink" Target="https://www.igem.qld.gov.au/assurance-framework/Pages/default.aspx" TargetMode="External"/><Relationship Id="rId65" Type="http://schemas.openxmlformats.org/officeDocument/2006/relationships/hyperlink" Target="http://www.igem.qld.gov.au/reports-and-publications/Pages/Newsletters.aspx" TargetMode="External"/><Relationship Id="rId73" Type="http://schemas.openxmlformats.org/officeDocument/2006/relationships/image" Target="media/image27.jpg"/><Relationship Id="rId78" Type="http://schemas.openxmlformats.org/officeDocument/2006/relationships/image" Target="media/image32.jpg"/><Relationship Id="rId81" Type="http://schemas.openxmlformats.org/officeDocument/2006/relationships/image" Target="media/image35.jpg"/><Relationship Id="rId86"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settings" Target="settings.xml"/></Relationships>
</file>

<file path=word/_rels/footer5.xml.rels><?xml version="1.0" encoding="UTF-8" standalone="yes"?>
<Relationships xmlns="http://schemas.openxmlformats.org/package/2006/relationships"><Relationship Id="rId1" Type="http://schemas.openxmlformats.org/officeDocument/2006/relationships/image" Target="media/image39.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4009974\AppData\Roaming\Microsoft\Templates\Annual%20report%20(Timeless%20design).dotx" TargetMode="External"/></Relationships>
</file>

<file path=word/theme/theme1.xml><?xml version="1.0" encoding="utf-8"?>
<a:theme xmlns:a="http://schemas.openxmlformats.org/drawingml/2006/main" name="Annual Report">
  <a:themeElements>
    <a:clrScheme name="Custom 1">
      <a:dk1>
        <a:srgbClr val="FFFFFF"/>
      </a:dk1>
      <a:lt1>
        <a:srgbClr val="FFFFFF"/>
      </a:lt1>
      <a:dk2>
        <a:srgbClr val="FFFFFF"/>
      </a:dk2>
      <a:lt2>
        <a:srgbClr val="FFFFFF"/>
      </a:lt2>
      <a:accent1>
        <a:srgbClr val="8A002E"/>
      </a:accent1>
      <a:accent2>
        <a:srgbClr val="960443"/>
      </a:accent2>
      <a:accent3>
        <a:srgbClr val="AB054C"/>
      </a:accent3>
      <a:accent4>
        <a:srgbClr val="FFE7E7"/>
      </a:accent4>
      <a:accent5>
        <a:srgbClr val="FEDADD"/>
      </a:accent5>
      <a:accent6>
        <a:srgbClr val="700015"/>
      </a:accent6>
      <a:hlink>
        <a:srgbClr val="AB054C"/>
      </a:hlink>
      <a:folHlink>
        <a:srgbClr val="AB054C"/>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2015-16</PublishDate>
  <Abstract>NOTE: DPC PROVIDES FRONT AND BACK COVER TEMPLATES AND APPROVES ANNUAL REPORT COVERS                                                                                                                                                           The structure/content may need to be adjusted as the report is drafted and to ensure compliance with the 2015-16 annual report requirements.                                                                              The annual report will be published online in colour.</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7FA7A30CEC72AA4EACD01328ED411379" ma:contentTypeVersion="1" ma:contentTypeDescription="Create a new document." ma:contentTypeScope="" ma:versionID="e18dec71170c199c3e61d0310df24ae7">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7F0643-4DBC-4122-97A4-1A4B0E60EF2D}">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B150A77D-0DC7-4CE6-9B6D-D38A3DBBDA3D}">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microsoft.com/sharepoint/v3"/>
    <ds:schemaRef ds:uri="http://purl.org/dc/terms/"/>
    <ds:schemaRef ds:uri="http://www.w3.org/XML/1998/namespace"/>
  </ds:schemaRefs>
</ds:datastoreItem>
</file>

<file path=customXml/itemProps5.xml><?xml version="1.0" encoding="utf-8"?>
<ds:datastoreItem xmlns:ds="http://schemas.openxmlformats.org/officeDocument/2006/customXml" ds:itemID="{87F88E19-D91F-4977-A905-321740FE36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6A33960B-78B8-43B7-8567-0D115EE36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(Timeless design)</Template>
  <TotalTime>29</TotalTime>
  <Pages>67</Pages>
  <Words>13364</Words>
  <Characters>76176</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ANNUAL PORT</vt:lpstr>
    </vt:vector>
  </TitlesOfParts>
  <Company>Department of Community Safety</Company>
  <LinksUpToDate>false</LinksUpToDate>
  <CharactersWithSpaces>89362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16-17</dc:title>
  <dc:creator>Kitto.SuzanneM[PSBASTR]</dc:creator>
  <cp:lastModifiedBy>Chau Nguyen</cp:lastModifiedBy>
  <cp:revision>11</cp:revision>
  <cp:lastPrinted>2017-09-28T05:42:00Z</cp:lastPrinted>
  <dcterms:created xsi:type="dcterms:W3CDTF">2017-09-12T02:19:00Z</dcterms:created>
  <dcterms:modified xsi:type="dcterms:W3CDTF">2017-09-28T05:42:00Z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y fmtid="{D5CDD505-2E9C-101B-9397-08002B2CF9AE}" pid="3" name="ContentTypeId">
    <vt:lpwstr>0x0101007FA7A30CEC72AA4EACD01328ED411379</vt:lpwstr>
  </property>
</Properties>
</file>